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61" w:rsidRDefault="00C12161" w:rsidP="00004412">
      <w:pPr>
        <w:ind w:firstLine="851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Выборы депутатов Советов депутатов</w:t>
      </w:r>
    </w:p>
    <w:p w:rsidR="00C12161" w:rsidRDefault="00C12161" w:rsidP="00C12161">
      <w:pPr>
        <w:autoSpaceDE w:val="0"/>
        <w:ind w:left="708" w:firstLine="708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Приозерск</w:t>
      </w:r>
      <w:r w:rsidR="00B9641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муниципальн</w:t>
      </w:r>
      <w:r w:rsidR="00B9641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ого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B9641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Ленинградской области четвертого созыва 8 сентября 2019 года</w:t>
      </w:r>
    </w:p>
    <w:p w:rsidR="00C12161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BD0A88" w:rsidRDefault="00C12161" w:rsidP="00C12161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C12161" w:rsidRPr="00C12161" w:rsidRDefault="00C12161" w:rsidP="00C12161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C12161" w:rsidRPr="00225A1A" w:rsidRDefault="00C12161" w:rsidP="00C12161">
      <w:pPr>
        <w:pStyle w:val="a5"/>
        <w:tabs>
          <w:tab w:val="left" w:pos="540"/>
        </w:tabs>
        <w:spacing w:after="0"/>
        <w:jc w:val="center"/>
        <w:rPr>
          <w:b/>
        </w:rPr>
      </w:pPr>
      <w:proofErr w:type="gramStart"/>
      <w:r w:rsidRPr="00225A1A">
        <w:t>(с полномочиями избирательных комиссий муниципальных образований</w:t>
      </w:r>
      <w:proofErr w:type="gramEnd"/>
    </w:p>
    <w:p w:rsidR="00C12161" w:rsidRPr="00225A1A" w:rsidRDefault="00C12161" w:rsidP="00C12161">
      <w:pPr>
        <w:pStyle w:val="a5"/>
        <w:tabs>
          <w:tab w:val="left" w:pos="540"/>
        </w:tabs>
        <w:spacing w:after="0"/>
        <w:jc w:val="center"/>
      </w:pPr>
      <w:proofErr w:type="spellStart"/>
      <w:r w:rsidRPr="00225A1A">
        <w:t>Приозерское</w:t>
      </w:r>
      <w:proofErr w:type="spellEnd"/>
      <w:r w:rsidRPr="00225A1A">
        <w:t xml:space="preserve">, </w:t>
      </w:r>
      <w:proofErr w:type="spellStart"/>
      <w:r w:rsidRPr="00225A1A">
        <w:t>Кузнечнинское</w:t>
      </w:r>
      <w:proofErr w:type="spellEnd"/>
      <w:r w:rsidRPr="00225A1A">
        <w:t xml:space="preserve"> городские поселения, </w:t>
      </w:r>
      <w:proofErr w:type="spellStart"/>
      <w:r w:rsidRPr="00225A1A">
        <w:t>Громовское</w:t>
      </w:r>
      <w:proofErr w:type="spellEnd"/>
      <w:r w:rsidRPr="00225A1A">
        <w:t xml:space="preserve">, Запорожское, </w:t>
      </w:r>
      <w:proofErr w:type="spellStart"/>
      <w:r w:rsidRPr="00225A1A">
        <w:t>Красноозёрное</w:t>
      </w:r>
      <w:proofErr w:type="spellEnd"/>
      <w:r w:rsidRPr="00225A1A">
        <w:t xml:space="preserve">, </w:t>
      </w:r>
      <w:proofErr w:type="spellStart"/>
      <w:r w:rsidRPr="00225A1A">
        <w:t>Ларионовское</w:t>
      </w:r>
      <w:proofErr w:type="spellEnd"/>
      <w:r w:rsidRPr="00225A1A">
        <w:t xml:space="preserve">, </w:t>
      </w:r>
      <w:proofErr w:type="spellStart"/>
      <w:r w:rsidRPr="00225A1A">
        <w:t>Мельниковское</w:t>
      </w:r>
      <w:proofErr w:type="spellEnd"/>
      <w:r w:rsidRPr="00225A1A">
        <w:t xml:space="preserve">, Мичуринское, Петровское, </w:t>
      </w:r>
      <w:proofErr w:type="spellStart"/>
      <w:r w:rsidRPr="00225A1A">
        <w:t>Плодовское</w:t>
      </w:r>
      <w:proofErr w:type="spellEnd"/>
      <w:r w:rsidRPr="00225A1A">
        <w:t xml:space="preserve">, </w:t>
      </w:r>
      <w:proofErr w:type="spellStart"/>
      <w:r w:rsidRPr="00225A1A">
        <w:t>Раздольевское</w:t>
      </w:r>
      <w:proofErr w:type="spellEnd"/>
      <w:r w:rsidRPr="00225A1A">
        <w:t xml:space="preserve">, </w:t>
      </w:r>
      <w:proofErr w:type="spellStart"/>
      <w:r w:rsidRPr="00225A1A">
        <w:t>Ромашкинское</w:t>
      </w:r>
      <w:proofErr w:type="spellEnd"/>
      <w:r w:rsidRPr="00225A1A">
        <w:t xml:space="preserve">, </w:t>
      </w:r>
      <w:proofErr w:type="spellStart"/>
      <w:r w:rsidRPr="00225A1A">
        <w:t>Севастьяновское</w:t>
      </w:r>
      <w:proofErr w:type="spellEnd"/>
      <w:r w:rsidRPr="00225A1A">
        <w:t xml:space="preserve">, Сосновское сельские поселения муниципального образования </w:t>
      </w:r>
      <w:proofErr w:type="spellStart"/>
      <w:r w:rsidRPr="00225A1A">
        <w:t>Приозерский</w:t>
      </w:r>
      <w:proofErr w:type="spellEnd"/>
      <w:r w:rsidRPr="00225A1A">
        <w:t xml:space="preserve"> муниципальный район</w:t>
      </w:r>
    </w:p>
    <w:p w:rsidR="00C12161" w:rsidRPr="00D5319F" w:rsidRDefault="00C12161" w:rsidP="00C12161">
      <w:pPr>
        <w:pStyle w:val="a5"/>
        <w:tabs>
          <w:tab w:val="left" w:pos="540"/>
        </w:tabs>
        <w:spacing w:after="0"/>
        <w:jc w:val="center"/>
      </w:pPr>
      <w:r w:rsidRPr="00225A1A">
        <w:t xml:space="preserve"> </w:t>
      </w:r>
      <w:proofErr w:type="gramStart"/>
      <w:r w:rsidRPr="00225A1A">
        <w:t>Ленинградской области)</w:t>
      </w:r>
      <w:proofErr w:type="gramEnd"/>
    </w:p>
    <w:p w:rsidR="00C12161" w:rsidRDefault="00C12161" w:rsidP="00C12161">
      <w:pPr>
        <w:jc w:val="center"/>
        <w:rPr>
          <w:b/>
          <w:caps/>
          <w:sz w:val="28"/>
          <w:szCs w:val="28"/>
        </w:rPr>
      </w:pPr>
    </w:p>
    <w:p w:rsidR="00C12161" w:rsidRPr="00B9641A" w:rsidRDefault="00C12161" w:rsidP="00C12161">
      <w:pPr>
        <w:jc w:val="center"/>
        <w:rPr>
          <w:b/>
          <w:caps/>
        </w:rPr>
      </w:pPr>
      <w:r w:rsidRPr="00B9641A">
        <w:rPr>
          <w:b/>
          <w:caps/>
        </w:rPr>
        <w:t xml:space="preserve">постановление </w:t>
      </w:r>
    </w:p>
    <w:p w:rsidR="00C12161" w:rsidRDefault="00C12161" w:rsidP="00C12161">
      <w:pPr>
        <w:rPr>
          <w:sz w:val="22"/>
          <w:szCs w:val="22"/>
        </w:rPr>
      </w:pPr>
    </w:p>
    <w:p w:rsidR="00C12161" w:rsidRDefault="00455317" w:rsidP="00C12161">
      <w:r>
        <w:t>№ 11</w:t>
      </w:r>
      <w:r w:rsidR="00C12161" w:rsidRPr="00B9641A">
        <w:t>/</w:t>
      </w:r>
      <w:r>
        <w:t>72</w:t>
      </w:r>
      <w:r w:rsidR="00C12161" w:rsidRPr="00B9641A">
        <w:t xml:space="preserve">  от  </w:t>
      </w:r>
      <w:r w:rsidR="0051196A" w:rsidRPr="00B9641A">
        <w:t>19</w:t>
      </w:r>
      <w:r w:rsidR="00B9641A" w:rsidRPr="00B9641A">
        <w:t xml:space="preserve"> июня </w:t>
      </w:r>
      <w:r w:rsidR="00C12161" w:rsidRPr="00B9641A">
        <w:t xml:space="preserve"> 2019 г.</w:t>
      </w:r>
    </w:p>
    <w:p w:rsidR="00004412" w:rsidRPr="00B9641A" w:rsidRDefault="00004412" w:rsidP="00C12161"/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C12161" w:rsidRPr="00D5319F" w:rsidTr="004E1942">
        <w:tc>
          <w:tcPr>
            <w:tcW w:w="5495" w:type="dxa"/>
            <w:shd w:val="clear" w:color="auto" w:fill="auto"/>
          </w:tcPr>
          <w:p w:rsidR="00C12161" w:rsidRPr="00D5319F" w:rsidRDefault="00C12161" w:rsidP="00004412">
            <w:pPr>
              <w:jc w:val="both"/>
              <w:rPr>
                <w:sz w:val="28"/>
                <w:szCs w:val="28"/>
              </w:rPr>
            </w:pPr>
            <w:r w:rsidRPr="00B9641A">
              <w:t>О порядке и формах учета и отчетности о поступлении и расходовании средств избирательных фондов кандидатов</w:t>
            </w:r>
            <w:r w:rsidR="00B9641A">
              <w:t xml:space="preserve">, зарегистрированных кандидатов при проведении </w:t>
            </w:r>
            <w:proofErr w:type="gramStart"/>
            <w:r w:rsidR="00B9641A">
              <w:t>выборов депутатов Советов депутатов муниципальных образований</w:t>
            </w:r>
            <w:proofErr w:type="gramEnd"/>
            <w:r w:rsidR="00B9641A">
              <w:t xml:space="preserve"> </w:t>
            </w:r>
            <w:proofErr w:type="spellStart"/>
            <w:r w:rsidR="00B9641A">
              <w:t>Приозерского</w:t>
            </w:r>
            <w:proofErr w:type="spellEnd"/>
            <w:r w:rsidR="00B9641A">
              <w:t xml:space="preserve"> муниципального района Ленинградской области </w:t>
            </w:r>
          </w:p>
        </w:tc>
        <w:tc>
          <w:tcPr>
            <w:tcW w:w="4927" w:type="dxa"/>
            <w:shd w:val="clear" w:color="auto" w:fill="auto"/>
          </w:tcPr>
          <w:p w:rsidR="00C12161" w:rsidRPr="00D5319F" w:rsidRDefault="00C12161" w:rsidP="004E1942">
            <w:pPr>
              <w:rPr>
                <w:sz w:val="28"/>
                <w:szCs w:val="28"/>
              </w:rPr>
            </w:pPr>
          </w:p>
        </w:tc>
      </w:tr>
    </w:tbl>
    <w:p w:rsidR="00C12161" w:rsidRPr="005C5403" w:rsidRDefault="00C12161" w:rsidP="00C12161">
      <w:pPr>
        <w:rPr>
          <w:sz w:val="28"/>
          <w:szCs w:val="28"/>
        </w:rPr>
      </w:pPr>
    </w:p>
    <w:p w:rsidR="00C12161" w:rsidRPr="00B9641A" w:rsidRDefault="00C12161" w:rsidP="00004412">
      <w:pPr>
        <w:ind w:firstLine="851"/>
        <w:jc w:val="both"/>
      </w:pPr>
      <w:r w:rsidRPr="00B9641A">
        <w:rPr>
          <w:color w:val="000000"/>
        </w:rPr>
        <w:t>В соответствии с ч</w:t>
      </w:r>
      <w:r w:rsidR="00325309">
        <w:rPr>
          <w:color w:val="000000"/>
        </w:rPr>
        <w:t>астью</w:t>
      </w:r>
      <w:r w:rsidR="00CC4489" w:rsidRPr="00B9641A">
        <w:rPr>
          <w:color w:val="000000"/>
        </w:rPr>
        <w:t xml:space="preserve"> 1 </w:t>
      </w:r>
      <w:r w:rsidRPr="00B9641A">
        <w:rPr>
          <w:color w:val="000000"/>
        </w:rPr>
        <w:t>статьи 41 областного закона от 15</w:t>
      </w:r>
      <w:r w:rsidR="00B9641A" w:rsidRPr="00B9641A">
        <w:rPr>
          <w:color w:val="000000"/>
        </w:rPr>
        <w:t xml:space="preserve"> марта </w:t>
      </w:r>
      <w:r w:rsidR="00325309">
        <w:rPr>
          <w:color w:val="000000"/>
        </w:rPr>
        <w:t>2012 года № 20</w:t>
      </w:r>
      <w:r w:rsidRPr="00B9641A">
        <w:rPr>
          <w:color w:val="000000"/>
        </w:rPr>
        <w:t xml:space="preserve">-оз «О муниципальных выборах в Ленинградской области» и в соответствии </w:t>
      </w:r>
      <w:r w:rsidR="006616A6" w:rsidRPr="00B9641A">
        <w:t>постановлением Избирательной комиссии Ленинградской области</w:t>
      </w:r>
      <w:r w:rsidR="00E9658A" w:rsidRPr="00B9641A">
        <w:t xml:space="preserve"> от 15</w:t>
      </w:r>
      <w:r w:rsidR="00B71C77">
        <w:t xml:space="preserve"> мая </w:t>
      </w:r>
      <w:r w:rsidR="00E9658A" w:rsidRPr="00B9641A">
        <w:t>2019 г. № 43</w:t>
      </w:r>
      <w:r w:rsidR="006616A6" w:rsidRPr="00B9641A">
        <w:t>/3</w:t>
      </w:r>
      <w:r w:rsidR="00E9658A" w:rsidRPr="00B9641A">
        <w:t>33</w:t>
      </w:r>
      <w:r w:rsidR="006616A6" w:rsidRPr="00B9641A">
        <w:t xml:space="preserve"> </w:t>
      </w:r>
      <w:r w:rsidRPr="00B9641A">
        <w:t xml:space="preserve">территориальная избирательная комиссия </w:t>
      </w:r>
      <w:proofErr w:type="spellStart"/>
      <w:r w:rsidRPr="00B9641A">
        <w:t>Приозерского</w:t>
      </w:r>
      <w:proofErr w:type="spellEnd"/>
      <w:r w:rsidRPr="00B9641A">
        <w:t xml:space="preserve"> муниципального района</w:t>
      </w:r>
      <w:r w:rsidR="00177FCA" w:rsidRPr="00B9641A">
        <w:t xml:space="preserve"> с полномочиями избирательных комиссий муниципальных образований</w:t>
      </w:r>
      <w:r w:rsidRPr="00B9641A">
        <w:t xml:space="preserve"> </w:t>
      </w:r>
    </w:p>
    <w:p w:rsidR="00C12161" w:rsidRPr="00B9641A" w:rsidRDefault="00C12161" w:rsidP="00004412">
      <w:pPr>
        <w:ind w:firstLine="851"/>
        <w:rPr>
          <w:b/>
          <w:caps/>
        </w:rPr>
      </w:pPr>
    </w:p>
    <w:p w:rsidR="00C12161" w:rsidRPr="00B9641A" w:rsidRDefault="00C12161" w:rsidP="00C12161">
      <w:pPr>
        <w:jc w:val="center"/>
        <w:rPr>
          <w:b/>
          <w:caps/>
        </w:rPr>
      </w:pPr>
      <w:r w:rsidRPr="00B9641A">
        <w:rPr>
          <w:b/>
          <w:caps/>
        </w:rPr>
        <w:t>постанов</w:t>
      </w:r>
      <w:r w:rsidR="00177FCA" w:rsidRPr="00B9641A">
        <w:rPr>
          <w:b/>
          <w:caps/>
        </w:rPr>
        <w:t>ила</w:t>
      </w:r>
      <w:r w:rsidRPr="00B9641A">
        <w:rPr>
          <w:b/>
          <w:caps/>
        </w:rPr>
        <w:t>:</w:t>
      </w:r>
    </w:p>
    <w:p w:rsidR="00CC4526" w:rsidRPr="00B9641A" w:rsidRDefault="007F7DF8" w:rsidP="00004412">
      <w:pPr>
        <w:pStyle w:val="p1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</w:rPr>
      </w:pPr>
      <w:r w:rsidRPr="00B9641A">
        <w:rPr>
          <w:color w:val="000000"/>
        </w:rPr>
        <w:t>У</w:t>
      </w:r>
      <w:r w:rsidR="00177FCA" w:rsidRPr="00B9641A">
        <w:rPr>
          <w:color w:val="000000"/>
        </w:rPr>
        <w:t>твердить</w:t>
      </w:r>
      <w:r w:rsidRPr="00B9641A">
        <w:rPr>
          <w:color w:val="000000"/>
        </w:rPr>
        <w:t xml:space="preserve"> </w:t>
      </w:r>
      <w:r w:rsidR="00177FCA" w:rsidRPr="00B9641A">
        <w:t>порядок</w:t>
      </w:r>
      <w:r w:rsidR="00144C79" w:rsidRPr="00B9641A">
        <w:t xml:space="preserve"> и формы</w:t>
      </w:r>
      <w:r w:rsidR="00177FCA" w:rsidRPr="00B9641A">
        <w:t xml:space="preserve"> </w:t>
      </w:r>
      <w:r w:rsidR="00144C79" w:rsidRPr="00B9641A">
        <w:t xml:space="preserve">учета и отчетности о поступлении и расходования денежных средств </w:t>
      </w:r>
      <w:r w:rsidR="00177FCA" w:rsidRPr="00B9641A">
        <w:t>избирательных фондов кандидатов</w:t>
      </w:r>
      <w:r w:rsidR="00144C79" w:rsidRPr="00B9641A">
        <w:t>, зарегистрированных кандидатов</w:t>
      </w:r>
      <w:r w:rsidR="00177FCA" w:rsidRPr="00B9641A">
        <w:t xml:space="preserve"> при проведении </w:t>
      </w:r>
      <w:proofErr w:type="gramStart"/>
      <w:r w:rsidR="00177FCA" w:rsidRPr="00B9641A">
        <w:t xml:space="preserve">выборов </w:t>
      </w:r>
      <w:r w:rsidR="00144C79" w:rsidRPr="00B9641A">
        <w:rPr>
          <w:bCs/>
        </w:rPr>
        <w:t xml:space="preserve"> депутатов С</w:t>
      </w:r>
      <w:r w:rsidR="00177FCA" w:rsidRPr="00B9641A">
        <w:rPr>
          <w:bCs/>
        </w:rPr>
        <w:t>оветов депутатов муниципальных образований</w:t>
      </w:r>
      <w:proofErr w:type="gramEnd"/>
      <w:r w:rsidR="00177FCA" w:rsidRPr="00B9641A">
        <w:rPr>
          <w:bCs/>
        </w:rPr>
        <w:t xml:space="preserve"> </w:t>
      </w:r>
      <w:proofErr w:type="spellStart"/>
      <w:r w:rsidR="00177FCA" w:rsidRPr="00B9641A">
        <w:rPr>
          <w:bCs/>
        </w:rPr>
        <w:t>Приозерского</w:t>
      </w:r>
      <w:proofErr w:type="spellEnd"/>
      <w:r w:rsidR="00177FCA" w:rsidRPr="00B9641A">
        <w:rPr>
          <w:bCs/>
        </w:rPr>
        <w:t xml:space="preserve"> муниципального района Ленинградской области</w:t>
      </w:r>
      <w:r w:rsidR="00EF218D" w:rsidRPr="00B9641A">
        <w:rPr>
          <w:color w:val="000000"/>
        </w:rPr>
        <w:t xml:space="preserve"> (Приложение</w:t>
      </w:r>
      <w:r w:rsidR="00B9641A">
        <w:rPr>
          <w:color w:val="000000"/>
        </w:rPr>
        <w:t xml:space="preserve"> </w:t>
      </w:r>
      <w:r w:rsidR="00EF218D" w:rsidRPr="00B9641A">
        <w:rPr>
          <w:color w:val="000000"/>
        </w:rPr>
        <w:t>1)</w:t>
      </w:r>
      <w:r w:rsidR="00144C79" w:rsidRPr="00B9641A">
        <w:rPr>
          <w:color w:val="000000"/>
        </w:rPr>
        <w:t>.</w:t>
      </w:r>
    </w:p>
    <w:p w:rsidR="00CC4489" w:rsidRPr="00B9641A" w:rsidRDefault="00CC4489" w:rsidP="00004412">
      <w:pPr>
        <w:pStyle w:val="p11"/>
        <w:numPr>
          <w:ilvl w:val="0"/>
          <w:numId w:val="1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r w:rsidRPr="00B9641A">
        <w:rPr>
          <w:color w:val="000000"/>
        </w:rPr>
        <w:t xml:space="preserve">Копию данного постановления направить  </w:t>
      </w:r>
      <w:r w:rsidR="00D554FB" w:rsidRPr="00B9641A">
        <w:rPr>
          <w:color w:val="000000"/>
        </w:rPr>
        <w:t xml:space="preserve">руководителю </w:t>
      </w:r>
      <w:r w:rsidR="000D59C4">
        <w:rPr>
          <w:color w:val="000000"/>
        </w:rPr>
        <w:t>внутреннего структурного подразделения</w:t>
      </w:r>
      <w:r w:rsidR="00D554FB" w:rsidRPr="00B9641A">
        <w:rPr>
          <w:color w:val="000000"/>
        </w:rPr>
        <w:t xml:space="preserve"> № 9055/01111 ПАО Сбербанк России</w:t>
      </w:r>
      <w:r w:rsidR="00B9641A">
        <w:rPr>
          <w:color w:val="000000"/>
        </w:rPr>
        <w:t>.</w:t>
      </w:r>
    </w:p>
    <w:p w:rsidR="00D554FB" w:rsidRPr="00B9641A" w:rsidRDefault="00D554FB" w:rsidP="00004412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851"/>
        <w:jc w:val="both"/>
      </w:pPr>
      <w:r w:rsidRPr="00B9641A">
        <w:t xml:space="preserve">Постановление разместить на сайте территориальной избирательной комиссии </w:t>
      </w:r>
      <w:proofErr w:type="spellStart"/>
      <w:r w:rsidRPr="00B9641A">
        <w:t>Приозерского</w:t>
      </w:r>
      <w:proofErr w:type="spellEnd"/>
      <w:r w:rsidRPr="00B9641A">
        <w:t xml:space="preserve"> муниципального района.</w:t>
      </w:r>
    </w:p>
    <w:p w:rsidR="00B9641A" w:rsidRPr="00B9641A" w:rsidRDefault="00B9641A" w:rsidP="00004412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</w:pPr>
      <w:r w:rsidRPr="00B9641A">
        <w:t xml:space="preserve"> </w:t>
      </w:r>
      <w:proofErr w:type="gramStart"/>
      <w:r w:rsidRPr="00B9641A">
        <w:t>Контроль  за</w:t>
      </w:r>
      <w:proofErr w:type="gramEnd"/>
      <w:r w:rsidRPr="00B9641A">
        <w:t xml:space="preserve">  выполнением  настоящего  постановления  возложить  на  </w:t>
      </w:r>
      <w:r>
        <w:t xml:space="preserve">заместителя </w:t>
      </w:r>
      <w:r w:rsidR="00325309">
        <w:t>председателя территориальной избирательной комиссии</w:t>
      </w:r>
      <w:r w:rsidRPr="00B9641A">
        <w:t xml:space="preserve"> </w:t>
      </w:r>
      <w:proofErr w:type="spellStart"/>
      <w:r w:rsidRPr="00B9641A">
        <w:t>Приозерского</w:t>
      </w:r>
      <w:proofErr w:type="spellEnd"/>
      <w:r w:rsidRPr="00B9641A">
        <w:t xml:space="preserve">  муниципального  района </w:t>
      </w:r>
      <w:r>
        <w:t>Полянскую А.Б.</w:t>
      </w:r>
    </w:p>
    <w:p w:rsidR="00B9641A" w:rsidRDefault="00B9641A" w:rsidP="00004412">
      <w:pPr>
        <w:ind w:firstLine="851"/>
      </w:pPr>
    </w:p>
    <w:p w:rsidR="00C12161" w:rsidRPr="00B9641A" w:rsidRDefault="00C12161" w:rsidP="00C12161">
      <w:r w:rsidRPr="00B9641A">
        <w:t xml:space="preserve">Председатель </w:t>
      </w:r>
      <w:proofErr w:type="gramStart"/>
      <w:r w:rsidRPr="00B9641A">
        <w:t>территориальной</w:t>
      </w:r>
      <w:proofErr w:type="gramEnd"/>
    </w:p>
    <w:p w:rsidR="00C12161" w:rsidRPr="00B9641A" w:rsidRDefault="00C12161" w:rsidP="00C12161">
      <w:r w:rsidRPr="00B9641A">
        <w:t xml:space="preserve">избирательной комиссии </w:t>
      </w:r>
    </w:p>
    <w:p w:rsidR="00C12161" w:rsidRPr="00B9641A" w:rsidRDefault="00C12161" w:rsidP="00C12161">
      <w:r w:rsidRPr="00B9641A">
        <w:t xml:space="preserve">с полномочиями избирательных комиссий </w:t>
      </w:r>
    </w:p>
    <w:p w:rsidR="00C12161" w:rsidRPr="00B9641A" w:rsidRDefault="00C12161" w:rsidP="00C12161">
      <w:r w:rsidRPr="00B9641A">
        <w:t>муниципальных образований</w:t>
      </w:r>
      <w:r w:rsidRPr="00B9641A">
        <w:tab/>
      </w:r>
      <w:r w:rsidRPr="00B9641A">
        <w:tab/>
      </w:r>
      <w:r w:rsidRPr="00B9641A">
        <w:tab/>
      </w:r>
      <w:r w:rsidRPr="00B9641A">
        <w:tab/>
      </w:r>
      <w:r w:rsidRPr="00B9641A">
        <w:tab/>
      </w:r>
      <w:r w:rsidR="00D554FB" w:rsidRPr="00B9641A">
        <w:tab/>
        <w:t xml:space="preserve">Е. И. </w:t>
      </w:r>
      <w:proofErr w:type="spellStart"/>
      <w:r w:rsidR="00D554FB" w:rsidRPr="00B9641A">
        <w:t>Красов</w:t>
      </w:r>
      <w:proofErr w:type="spellEnd"/>
    </w:p>
    <w:p w:rsidR="00C12161" w:rsidRPr="00B9641A" w:rsidRDefault="00C12161" w:rsidP="00C12161"/>
    <w:p w:rsidR="00C12161" w:rsidRPr="00B9641A" w:rsidRDefault="00C12161" w:rsidP="00C12161">
      <w:r w:rsidRPr="00B9641A">
        <w:t xml:space="preserve">Секретарь </w:t>
      </w:r>
      <w:proofErr w:type="gramStart"/>
      <w:r w:rsidRPr="00B9641A">
        <w:t>территориальной</w:t>
      </w:r>
      <w:proofErr w:type="gramEnd"/>
    </w:p>
    <w:p w:rsidR="00C12161" w:rsidRPr="00B9641A" w:rsidRDefault="00C12161" w:rsidP="00C12161">
      <w:r w:rsidRPr="00B9641A">
        <w:t>избирательной комиссии</w:t>
      </w:r>
    </w:p>
    <w:p w:rsidR="00C12161" w:rsidRPr="00B9641A" w:rsidRDefault="00C12161" w:rsidP="00C12161">
      <w:r w:rsidRPr="00B9641A">
        <w:t>с полномочиями избирательных комиссий</w:t>
      </w:r>
    </w:p>
    <w:p w:rsidR="00EF218D" w:rsidRDefault="00C12161" w:rsidP="00B9641A">
      <w:pPr>
        <w:jc w:val="both"/>
      </w:pPr>
      <w:r w:rsidRPr="00B9641A">
        <w:t>муниципальных образований</w:t>
      </w:r>
      <w:r w:rsidRPr="00B9641A">
        <w:tab/>
      </w:r>
      <w:r w:rsidRPr="00B9641A">
        <w:tab/>
      </w:r>
      <w:r w:rsidR="00D554FB" w:rsidRPr="00B9641A">
        <w:tab/>
      </w:r>
      <w:r w:rsidRPr="00B9641A">
        <w:tab/>
      </w:r>
      <w:r w:rsidRPr="00B9641A">
        <w:tab/>
      </w:r>
      <w:r w:rsidR="00D554FB" w:rsidRPr="00B9641A">
        <w:tab/>
        <w:t xml:space="preserve">И. Е. </w:t>
      </w:r>
      <w:proofErr w:type="spellStart"/>
      <w:r w:rsidR="00D554FB" w:rsidRPr="00B9641A">
        <w:t>Дудникова</w:t>
      </w:r>
      <w:proofErr w:type="spellEnd"/>
      <w:r w:rsidR="00B9641A">
        <w:t xml:space="preserve"> </w:t>
      </w:r>
    </w:p>
    <w:p w:rsidR="00325309" w:rsidRDefault="00325309" w:rsidP="00B9641A">
      <w:pPr>
        <w:jc w:val="both"/>
      </w:pPr>
    </w:p>
    <w:p w:rsidR="00177FCA" w:rsidRPr="004C7E98" w:rsidRDefault="001C51E9" w:rsidP="004C7E98">
      <w:pPr>
        <w:pStyle w:val="14-15"/>
        <w:widowControl/>
        <w:ind w:left="7787" w:firstLine="1"/>
        <w:jc w:val="right"/>
        <w:rPr>
          <w:sz w:val="24"/>
          <w:szCs w:val="24"/>
        </w:rPr>
      </w:pPr>
      <w:r w:rsidRPr="004C7E98">
        <w:rPr>
          <w:sz w:val="24"/>
          <w:szCs w:val="24"/>
        </w:rPr>
        <w:t>Приложение 1</w:t>
      </w:r>
    </w:p>
    <w:p w:rsidR="001C51E9" w:rsidRPr="004C7E98" w:rsidRDefault="001C51E9" w:rsidP="004C7E98">
      <w:pPr>
        <w:pStyle w:val="14-15"/>
        <w:widowControl/>
        <w:ind w:left="6371" w:firstLine="1"/>
        <w:jc w:val="right"/>
        <w:rPr>
          <w:sz w:val="24"/>
          <w:szCs w:val="24"/>
        </w:rPr>
      </w:pPr>
      <w:r w:rsidRPr="004C7E98">
        <w:rPr>
          <w:sz w:val="24"/>
          <w:szCs w:val="24"/>
        </w:rPr>
        <w:t xml:space="preserve">к постановлению ТИК </w:t>
      </w:r>
    </w:p>
    <w:p w:rsidR="001C51E9" w:rsidRPr="004C7E98" w:rsidRDefault="001C51E9" w:rsidP="004C7E98">
      <w:pPr>
        <w:pStyle w:val="14-15"/>
        <w:widowControl/>
        <w:ind w:left="4247"/>
        <w:jc w:val="right"/>
        <w:rPr>
          <w:sz w:val="24"/>
          <w:szCs w:val="24"/>
        </w:rPr>
      </w:pPr>
      <w:proofErr w:type="spellStart"/>
      <w:r w:rsidRPr="004C7E98">
        <w:rPr>
          <w:sz w:val="24"/>
          <w:szCs w:val="24"/>
        </w:rPr>
        <w:t>Приозерского</w:t>
      </w:r>
      <w:proofErr w:type="spellEnd"/>
      <w:r w:rsidRPr="004C7E98">
        <w:rPr>
          <w:sz w:val="24"/>
          <w:szCs w:val="24"/>
        </w:rPr>
        <w:t xml:space="preserve"> муниципального района</w:t>
      </w:r>
    </w:p>
    <w:p w:rsidR="001C51E9" w:rsidRPr="004C7E98" w:rsidRDefault="001C51E9" w:rsidP="004C7E98">
      <w:pPr>
        <w:pStyle w:val="14-15"/>
        <w:widowControl/>
        <w:ind w:left="2123"/>
        <w:jc w:val="right"/>
        <w:rPr>
          <w:sz w:val="24"/>
          <w:szCs w:val="24"/>
        </w:rPr>
      </w:pPr>
      <w:r w:rsidRPr="004C7E98">
        <w:rPr>
          <w:sz w:val="24"/>
          <w:szCs w:val="24"/>
        </w:rPr>
        <w:t xml:space="preserve"> </w:t>
      </w:r>
      <w:r w:rsidRPr="004C7E98">
        <w:rPr>
          <w:sz w:val="24"/>
          <w:szCs w:val="24"/>
        </w:rPr>
        <w:tab/>
      </w:r>
      <w:r w:rsidRPr="004C7E98">
        <w:rPr>
          <w:sz w:val="24"/>
          <w:szCs w:val="24"/>
        </w:rPr>
        <w:tab/>
      </w:r>
      <w:r w:rsidRPr="004C7E98">
        <w:rPr>
          <w:sz w:val="24"/>
          <w:szCs w:val="24"/>
        </w:rPr>
        <w:tab/>
      </w:r>
      <w:r w:rsidRPr="004C7E98">
        <w:rPr>
          <w:sz w:val="24"/>
          <w:szCs w:val="24"/>
        </w:rPr>
        <w:tab/>
      </w:r>
      <w:r w:rsidRPr="004C7E98">
        <w:rPr>
          <w:sz w:val="24"/>
          <w:szCs w:val="24"/>
        </w:rPr>
        <w:tab/>
        <w:t xml:space="preserve"> с полномочиями ИКМО</w:t>
      </w:r>
    </w:p>
    <w:p w:rsidR="001C51E9" w:rsidRPr="004C7E98" w:rsidRDefault="001C51E9" w:rsidP="004C7E98">
      <w:pPr>
        <w:pStyle w:val="14-15"/>
        <w:widowControl/>
        <w:ind w:left="5663"/>
        <w:jc w:val="right"/>
        <w:rPr>
          <w:sz w:val="24"/>
          <w:szCs w:val="24"/>
        </w:rPr>
      </w:pPr>
      <w:r w:rsidRPr="004C7E98">
        <w:rPr>
          <w:sz w:val="24"/>
          <w:szCs w:val="24"/>
        </w:rPr>
        <w:t xml:space="preserve">от </w:t>
      </w:r>
      <w:r w:rsidR="0016162A">
        <w:rPr>
          <w:sz w:val="24"/>
          <w:szCs w:val="24"/>
        </w:rPr>
        <w:t>19</w:t>
      </w:r>
      <w:r w:rsidR="00B9641A" w:rsidRPr="004C7E98">
        <w:rPr>
          <w:sz w:val="24"/>
          <w:szCs w:val="24"/>
        </w:rPr>
        <w:t>.</w:t>
      </w:r>
      <w:r w:rsidR="0016162A">
        <w:rPr>
          <w:sz w:val="24"/>
          <w:szCs w:val="24"/>
        </w:rPr>
        <w:t>06</w:t>
      </w:r>
      <w:r w:rsidRPr="004C7E98">
        <w:rPr>
          <w:sz w:val="24"/>
          <w:szCs w:val="24"/>
        </w:rPr>
        <w:t>.</w:t>
      </w:r>
      <w:r w:rsidR="004E1942" w:rsidRPr="004C7E98">
        <w:rPr>
          <w:sz w:val="24"/>
          <w:szCs w:val="24"/>
        </w:rPr>
        <w:t xml:space="preserve">2019 № </w:t>
      </w:r>
      <w:r w:rsidR="0016162A">
        <w:rPr>
          <w:sz w:val="24"/>
          <w:szCs w:val="24"/>
        </w:rPr>
        <w:t>11</w:t>
      </w:r>
      <w:r w:rsidR="004E1942" w:rsidRPr="004C7E98">
        <w:rPr>
          <w:sz w:val="24"/>
          <w:szCs w:val="24"/>
        </w:rPr>
        <w:t>/</w:t>
      </w:r>
      <w:r w:rsidR="0016162A">
        <w:rPr>
          <w:sz w:val="24"/>
          <w:szCs w:val="24"/>
        </w:rPr>
        <w:t>72</w:t>
      </w:r>
    </w:p>
    <w:p w:rsidR="00177FCA" w:rsidRPr="004C7E98" w:rsidRDefault="00177FCA" w:rsidP="00177FCA">
      <w:pPr>
        <w:pStyle w:val="14-15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C7E98">
        <w:rPr>
          <w:b/>
          <w:sz w:val="24"/>
          <w:szCs w:val="24"/>
        </w:rPr>
        <w:t xml:space="preserve">Порядок формирования и расходования денежных средств избирательных фондов кандидатов при проведении выборов </w:t>
      </w:r>
      <w:r w:rsidR="004E1942" w:rsidRPr="004C7E98">
        <w:rPr>
          <w:b/>
          <w:bCs/>
          <w:sz w:val="24"/>
          <w:szCs w:val="24"/>
        </w:rPr>
        <w:t>депутатов С</w:t>
      </w:r>
      <w:r w:rsidRPr="004C7E98">
        <w:rPr>
          <w:b/>
          <w:bCs/>
          <w:sz w:val="24"/>
          <w:szCs w:val="24"/>
        </w:rPr>
        <w:t xml:space="preserve">оветов депутатов </w:t>
      </w:r>
      <w:proofErr w:type="spellStart"/>
      <w:r w:rsidR="004E1942" w:rsidRPr="004C7E98">
        <w:rPr>
          <w:b/>
          <w:bCs/>
          <w:sz w:val="24"/>
          <w:szCs w:val="24"/>
        </w:rPr>
        <w:t>Приозерского</w:t>
      </w:r>
      <w:proofErr w:type="spellEnd"/>
      <w:r w:rsidR="004E1942" w:rsidRPr="004C7E98">
        <w:rPr>
          <w:b/>
          <w:bCs/>
          <w:sz w:val="24"/>
          <w:szCs w:val="24"/>
        </w:rPr>
        <w:t xml:space="preserve"> муниципального района</w:t>
      </w:r>
      <w:r w:rsidR="00EC269E" w:rsidRPr="004C7E98">
        <w:rPr>
          <w:b/>
          <w:bCs/>
          <w:sz w:val="24"/>
          <w:szCs w:val="24"/>
        </w:rPr>
        <w:t xml:space="preserve"> </w:t>
      </w:r>
      <w:r w:rsidRPr="004C7E98">
        <w:rPr>
          <w:b/>
          <w:bCs/>
          <w:sz w:val="24"/>
          <w:szCs w:val="24"/>
        </w:rPr>
        <w:t>Ленинградской области</w:t>
      </w:r>
    </w:p>
    <w:p w:rsidR="00177FCA" w:rsidRPr="004C7E98" w:rsidRDefault="00177FCA" w:rsidP="00177FCA">
      <w:pPr>
        <w:pStyle w:val="14"/>
        <w:spacing w:line="240" w:lineRule="auto"/>
        <w:ind w:firstLine="0"/>
        <w:rPr>
          <w:sz w:val="24"/>
          <w:szCs w:val="24"/>
        </w:rPr>
      </w:pPr>
    </w:p>
    <w:p w:rsidR="00177FCA" w:rsidRPr="004C7E98" w:rsidRDefault="00177FCA" w:rsidP="00177FCA">
      <w:pPr>
        <w:pStyle w:val="a5"/>
        <w:ind w:firstLine="708"/>
        <w:jc w:val="center"/>
        <w:rPr>
          <w:bCs/>
        </w:rPr>
      </w:pPr>
      <w:r w:rsidRPr="004C7E98">
        <w:rPr>
          <w:bCs/>
        </w:rPr>
        <w:t>1. Формирование избирательных фондов кандидатов</w:t>
      </w:r>
    </w:p>
    <w:p w:rsidR="00177FCA" w:rsidRPr="004C7E98" w:rsidRDefault="00177FCA" w:rsidP="000729F5">
      <w:pPr>
        <w:pStyle w:val="a5"/>
        <w:jc w:val="both"/>
        <w:rPr>
          <w:b/>
          <w:bCs/>
        </w:rPr>
      </w:pPr>
      <w:r w:rsidRPr="004C7E98">
        <w:rPr>
          <w:bCs/>
        </w:rPr>
        <w:t xml:space="preserve">1.1.  </w:t>
      </w:r>
      <w:proofErr w:type="gramStart"/>
      <w:r w:rsidRPr="004C7E98">
        <w:rPr>
          <w:bCs/>
        </w:rPr>
        <w:t>В соответствии со статьями 38 и 71 областного закона от 15 марта 2012 года №20-оз «О муниципальных выборах в Ленинградской области» (далее – областной закон) кандидат, выдвинутый по одномандатному или многомандатному избирательному округу, обязан создать собственный избирательный фонд для финансирования своей избирательной</w:t>
      </w:r>
      <w:r w:rsidR="000729F5" w:rsidRPr="004C7E98">
        <w:rPr>
          <w:bCs/>
        </w:rPr>
        <w:t xml:space="preserve"> </w:t>
      </w:r>
      <w:r w:rsidRPr="004C7E98">
        <w:rPr>
          <w:bCs/>
        </w:rPr>
        <w:t>кампании,</w:t>
      </w:r>
      <w:r w:rsidR="000729F5" w:rsidRPr="004C7E98">
        <w:rPr>
          <w:bCs/>
        </w:rPr>
        <w:t xml:space="preserve"> </w:t>
      </w:r>
      <w:r w:rsidRPr="004C7E98">
        <w:rPr>
          <w:bCs/>
        </w:rPr>
        <w:t>в период после уведомления соответствующей избирательной комиссии о своем выдвижении (самовыдвижении) в установленном статьей 62 областного закона порядке</w:t>
      </w:r>
      <w:proofErr w:type="gramEnd"/>
      <w:r w:rsidRPr="004C7E98">
        <w:rPr>
          <w:bCs/>
        </w:rPr>
        <w:t xml:space="preserve"> до представления документов для его регистрации этой избирательной комиссией.</w:t>
      </w:r>
    </w:p>
    <w:p w:rsidR="00177FCA" w:rsidRPr="004C7E98" w:rsidRDefault="00177FCA" w:rsidP="000729F5">
      <w:pPr>
        <w:pStyle w:val="a5"/>
        <w:jc w:val="both"/>
        <w:rPr>
          <w:b/>
          <w:bCs/>
        </w:rPr>
      </w:pPr>
      <w:r w:rsidRPr="004C7E98">
        <w:rPr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177FCA" w:rsidRPr="004C7E98" w:rsidRDefault="00177FCA" w:rsidP="000729F5">
      <w:pPr>
        <w:pStyle w:val="a5"/>
        <w:jc w:val="both"/>
        <w:rPr>
          <w:b/>
          <w:bCs/>
        </w:rPr>
      </w:pPr>
      <w:proofErr w:type="gramStart"/>
      <w:r w:rsidRPr="004C7E98">
        <w:rPr>
          <w:bCs/>
        </w:rPr>
        <w:t>Кандидат, выдвинутый одновременно в нескольких избирательных округах на разных выборах, если эти выборы проводятся на одной и той же территории либо, территориях, одна из которых включена в другую, создает избирательные фонды в соответствии с частью 1 статьи 71 областного закона, однако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  <w:proofErr w:type="gramEnd"/>
    </w:p>
    <w:p w:rsidR="00177FCA" w:rsidRPr="004C7E98" w:rsidRDefault="00177FCA" w:rsidP="000729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кандидатов, выдвинутых: путем самовыдвижения; избирательными объединениями, не являющимися политическими партиями, их региональными отделениями или иными структурными подразделениями; </w:t>
      </w: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1 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Федерального закона от 12 июня 2002 года 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№ 67-ФЗ «Об основных гарантиях избирательных прав и права на участие 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референдуме граждан Российской Федерации» (далее – Федеральный закон), поскольку они обязаны собирать подписи в свою поддержку – создание избирательного фонда является обязательным.</w:t>
      </w:r>
      <w:proofErr w:type="gramEnd"/>
    </w:p>
    <w:p w:rsidR="00177FCA" w:rsidRPr="004C7E98" w:rsidRDefault="00177FCA" w:rsidP="000729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1 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закона, создание избирательного фонда необязательно при условии, что число избирателей в избирательном округе не превышает пяти тысяч</w:t>
      </w:r>
      <w:r w:rsidR="000729F5"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15 000 рублей. В этом случае избирательный фонд создается только за счет собственных средств кандидата.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№ 40/309.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Несоздание</w:t>
      </w:r>
      <w:proofErr w:type="spellEnd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Предельный размер расходования средств избирательного фонда не может превышать 60 000 рублей.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1.2. Избирательные фонды кандидатов могут формироваться только за счет следующих денежных средств:</w:t>
      </w:r>
    </w:p>
    <w:p w:rsidR="00177FCA" w:rsidRPr="004C7E98" w:rsidRDefault="00177FCA" w:rsidP="004E1942">
      <w:pPr>
        <w:pStyle w:val="ConsPlusTitle"/>
        <w:widowControl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(30 000 рублей);</w:t>
      </w:r>
      <w:proofErr w:type="gramEnd"/>
    </w:p>
    <w:p w:rsidR="00177FCA" w:rsidRPr="004C7E98" w:rsidRDefault="00177FCA" w:rsidP="004E1942">
      <w:pPr>
        <w:pStyle w:val="ConsPlusTitle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добровольных пожертвований граждан и юридических лиц                в размере, не превышающем соответственно 1% и 10% от предельной суммы всех расходов из средств избирательного фонда кандидата для каждого гражданина, юридического лица (600 и 6 000 рублей соответственно);</w:t>
      </w:r>
    </w:p>
    <w:p w:rsidR="00177FCA" w:rsidRPr="004C7E98" w:rsidRDefault="00177FCA" w:rsidP="004E1942">
      <w:pPr>
        <w:pStyle w:val="ConsPlusTitle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(30 000 рублей).</w:t>
      </w:r>
    </w:p>
    <w:p w:rsidR="00177FCA" w:rsidRPr="004C7E98" w:rsidRDefault="00177FCA" w:rsidP="004E194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Собственными средствами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Собственные средства политической партии могут поступать                   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                 и с расчетных счетов региональных отделений и иных зарегистрированных структурных подразделений этой политической партии, образованных           в других субъектах Российской Федерации, не являющихся на данных выборах избирательным объединением.</w:t>
      </w:r>
      <w:proofErr w:type="gramEnd"/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1.3. 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кандидатов, в течение трех суток с момента представления          в избирательную комиссию документов, указанных в части 4 статьи              71 областного закона.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Основаниями для отказа в регистрации уполномоченного представителя кандидата по финансовым вопросам являются: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- отсутствие гражданства Российской Федерации;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- возраст к моменту регистрации менее 18 лет;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 наличие вступившего в законную силу решения суда о признании гражданина Российской Федерации </w:t>
      </w: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недееспособным</w:t>
      </w:r>
      <w:proofErr w:type="gramEnd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удостоверенной доверенности </w:t>
      </w:r>
      <w:r w:rsidRPr="004C7E98">
        <w:rPr>
          <w:rFonts w:ascii="Times New Roman" w:hAnsi="Times New Roman" w:cs="Times New Roman"/>
          <w:i/>
          <w:iCs/>
          <w:sz w:val="24"/>
          <w:szCs w:val="24"/>
        </w:rPr>
        <w:t>(рекомендуемая форма доверенности – приложение №32 к постановлению ИКЛО от            23 апреля 2019 №41/316)</w:t>
      </w:r>
      <w:r w:rsidRPr="004C7E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FCA" w:rsidRPr="004C7E98" w:rsidRDefault="00177FCA" w:rsidP="00177F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1.4. </w:t>
      </w: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>Специальный избирательный счет открывается кандидатом              в указанном соответствующей избирательной комиссией внутреннем структурном подразделении ПАО Сбербанк (далее – ПАО Сбербанк)               в соответствии с Порядком открытия,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(далее – Порядок), согласованным с Отделением по Ленинградской области Северо-Западного главного управления Центрального банка Российской Федерации                     и утвержденным постановлением Избирательной комиссии Ленинградской</w:t>
      </w:r>
      <w:proofErr w:type="gramEnd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области от 23 апреля 2019 года № 41/324.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1.5. 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 w:rsidRPr="004C7E98">
        <w:rPr>
          <w:rFonts w:ascii="Times New Roman" w:hAnsi="Times New Roman" w:cs="Times New Roman"/>
          <w:bCs/>
          <w:sz w:val="24"/>
          <w:szCs w:val="24"/>
        </w:rPr>
        <w:t>иного зарегистрированного структурного подразделения этой политической партии, наименование иного общественного объединения</w:t>
      </w:r>
      <w:r w:rsidRPr="004C7E98">
        <w:rPr>
          <w:rFonts w:ascii="Times New Roman" w:hAnsi="Times New Roman" w:cs="Times New Roman"/>
          <w:sz w:val="24"/>
          <w:szCs w:val="24"/>
        </w:rPr>
        <w:t xml:space="preserve">         и делается запись «Собственные средства политической партии», «Собственные средства общественного объединения».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1.6. 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 xml:space="preserve">1.7. 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 и номер паспорта или документа, заменяющего паспорт гражданина, сведения о гражданстве.</w:t>
      </w:r>
      <w:proofErr w:type="gramEnd"/>
    </w:p>
    <w:p w:rsidR="00177FCA" w:rsidRPr="004C7E98" w:rsidRDefault="00177FCA" w:rsidP="00177F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 xml:space="preserve">1.8. 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распоряжении               о переводе денежных средств указываются следующие обязательные сведения о нем: идентификационный номер налогоплательщика, </w:t>
      </w:r>
      <w:r w:rsidRPr="004C7E98">
        <w:rPr>
          <w:rFonts w:ascii="Times New Roman" w:hAnsi="Times New Roman" w:cs="Times New Roman"/>
          <w:sz w:val="24"/>
          <w:szCs w:val="24"/>
        </w:rPr>
        <w:lastRenderedPageBreak/>
        <w:t>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98">
        <w:rPr>
          <w:rFonts w:ascii="Times New Roman" w:hAnsi="Times New Roman" w:cs="Times New Roman"/>
          <w:sz w:val="24"/>
          <w:szCs w:val="24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закона. В качестве отметки об отсутствии ограничений используется следующая запись: «Ограничения, предусмотренные пунктом 6 статьи 58 ФЗ от 12.06.2002         № 67-ФЗ, отсутствуют», допускается сокращение: «</w:t>
      </w:r>
      <w:proofErr w:type="spellStart"/>
      <w:r w:rsidRPr="004C7E98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4C7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7E98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4C7E98">
        <w:rPr>
          <w:rFonts w:ascii="Times New Roman" w:hAnsi="Times New Roman" w:cs="Times New Roman"/>
          <w:sz w:val="24"/>
          <w:szCs w:val="24"/>
        </w:rPr>
        <w:t>.».</w:t>
      </w:r>
    </w:p>
    <w:p w:rsidR="00177FCA" w:rsidRPr="004C7E98" w:rsidRDefault="00177FCA" w:rsidP="00177F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1.9. 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177FCA" w:rsidRPr="004C7E98" w:rsidRDefault="00177FCA" w:rsidP="00177FCA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 xml:space="preserve">1.10. 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и адреса места жительства, пожертвование признается поступившим от анонимного жертвователя. В соответствии          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177FCA" w:rsidRPr="004C7E98" w:rsidRDefault="00177FCA" w:rsidP="00177FCA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1.11. </w:t>
      </w:r>
      <w:proofErr w:type="gramStart"/>
      <w:r w:rsidRPr="004C7E98">
        <w:rPr>
          <w:sz w:val="24"/>
          <w:szCs w:val="24"/>
        </w:rPr>
        <w:t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         с нарушением пунктов 1.7. и 1.8. настоящего Порядка,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10 дней со дня поступления пожертвования на</w:t>
      </w:r>
      <w:proofErr w:type="gramEnd"/>
      <w:r w:rsidRPr="004C7E98">
        <w:rPr>
          <w:sz w:val="24"/>
          <w:szCs w:val="24"/>
        </w:rPr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</w:t>
      </w:r>
      <w:proofErr w:type="gramStart"/>
      <w:r w:rsidRPr="004C7E98">
        <w:rPr>
          <w:sz w:val="24"/>
          <w:szCs w:val="24"/>
        </w:rPr>
        <w:t>дств пр</w:t>
      </w:r>
      <w:proofErr w:type="gramEnd"/>
      <w:r w:rsidRPr="004C7E98">
        <w:rPr>
          <w:sz w:val="24"/>
          <w:szCs w:val="24"/>
        </w:rPr>
        <w:t>ичины возврата.</w:t>
      </w:r>
    </w:p>
    <w:p w:rsidR="00177FCA" w:rsidRPr="004C7E98" w:rsidRDefault="00177FCA" w:rsidP="00177FCA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1.12. 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177FCA" w:rsidRPr="004C7E98" w:rsidRDefault="00177FCA" w:rsidP="00177FCA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 xml:space="preserve">Кандидат вправе возвратить собственные средства, перечисленные        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     в его избирательный фонд.  </w:t>
      </w:r>
    </w:p>
    <w:p w:rsidR="00177FCA" w:rsidRPr="004C7E98" w:rsidRDefault="00177FCA" w:rsidP="00177FCA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1.13. Кандидат не несет ответственности за принятие пожертвований, при внесении которых жертвователи указали сведения, предусмотренные пунктами 1.7. и 1.8. настоящего Порядка, оказавшимися недостоверными, если кандидат своевременно не получил информацию о неправомерности данных пожертвований.</w:t>
      </w:r>
    </w:p>
    <w:p w:rsidR="00177FCA" w:rsidRPr="004C7E98" w:rsidRDefault="00177FCA" w:rsidP="00177FCA">
      <w:pPr>
        <w:pStyle w:val="14"/>
        <w:spacing w:line="240" w:lineRule="auto"/>
        <w:ind w:firstLine="0"/>
        <w:rPr>
          <w:sz w:val="24"/>
          <w:szCs w:val="24"/>
        </w:rPr>
      </w:pPr>
    </w:p>
    <w:p w:rsidR="00177FCA" w:rsidRPr="004C7E98" w:rsidRDefault="00177FCA" w:rsidP="00177FCA">
      <w:pPr>
        <w:pStyle w:val="14"/>
        <w:widowControl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C7E98">
        <w:rPr>
          <w:b/>
          <w:sz w:val="24"/>
          <w:szCs w:val="24"/>
        </w:rPr>
        <w:t>Расходование средств избирательных фондов кандидатов</w:t>
      </w:r>
    </w:p>
    <w:p w:rsidR="00177FCA" w:rsidRPr="004C7E98" w:rsidRDefault="00177FCA" w:rsidP="00177FCA">
      <w:pPr>
        <w:pStyle w:val="14"/>
        <w:spacing w:line="240" w:lineRule="auto"/>
        <w:ind w:left="1429" w:firstLine="0"/>
        <w:jc w:val="center"/>
        <w:rPr>
          <w:sz w:val="24"/>
          <w:szCs w:val="24"/>
        </w:rPr>
      </w:pPr>
    </w:p>
    <w:p w:rsidR="00177FCA" w:rsidRPr="004C7E98" w:rsidRDefault="00177FCA" w:rsidP="00177FCA">
      <w:pPr>
        <w:pStyle w:val="14"/>
        <w:spacing w:line="240" w:lineRule="auto"/>
        <w:ind w:firstLine="0"/>
        <w:rPr>
          <w:sz w:val="24"/>
          <w:szCs w:val="24"/>
        </w:rPr>
      </w:pPr>
      <w:r w:rsidRPr="004C7E98">
        <w:rPr>
          <w:sz w:val="24"/>
          <w:szCs w:val="24"/>
        </w:rPr>
        <w:tab/>
        <w:t>2.1. Средства избирательных фондов кандидатов имеют целевое назначение и могут использоваться только: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lastRenderedPageBreak/>
        <w:tab/>
        <w:t>1) 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3) 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2.2. 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выборах, только денежные средства, поступившие в его избирательный фонд в установленном Федеральным и областным законами порядке.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2.3.</w:t>
      </w:r>
      <w:r w:rsidRPr="004C7E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7E98">
        <w:rPr>
          <w:rFonts w:ascii="Times New Roman" w:hAnsi="Times New Roman" w:cs="Times New Roman"/>
          <w:sz w:val="24"/>
          <w:szCs w:val="24"/>
        </w:rPr>
        <w:t>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2.4.</w:t>
      </w:r>
      <w:r w:rsidRPr="004C7E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7E98">
        <w:rPr>
          <w:rFonts w:ascii="Times New Roman" w:hAnsi="Times New Roman" w:cs="Times New Roman"/>
          <w:sz w:val="24"/>
          <w:szCs w:val="24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депутатов советов депутатов муниципальных образований Ленинградской области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2.5.</w:t>
      </w:r>
      <w:r w:rsidRPr="004C7E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7E98">
        <w:rPr>
          <w:rFonts w:ascii="Times New Roman" w:hAnsi="Times New Roman" w:cs="Times New Roman"/>
          <w:sz w:val="24"/>
          <w:szCs w:val="24"/>
        </w:rPr>
        <w:t xml:space="preserve">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кандидатов, создавших избирательный фонд с открытием специального избирательного счета, так и на кандидатов, </w:t>
      </w:r>
      <w:r w:rsidRPr="004C7E98">
        <w:rPr>
          <w:rFonts w:ascii="Times New Roman" w:hAnsi="Times New Roman" w:cs="Times New Roman"/>
          <w:bCs/>
          <w:sz w:val="24"/>
          <w:szCs w:val="24"/>
        </w:rPr>
        <w:t xml:space="preserve">создавших избирательный фонд без открытия специального избирательного счета.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E98">
        <w:rPr>
          <w:rFonts w:ascii="Times New Roman" w:hAnsi="Times New Roman" w:cs="Times New Roman"/>
          <w:bCs/>
          <w:sz w:val="24"/>
          <w:szCs w:val="24"/>
        </w:rPr>
        <w:tab/>
        <w:t>На муниципальных выборах подписи могут собираться со дня, следующего за днем уведомления соответствующей избирательной комиссии о выдвижении кандидата, при этом оплата изготовления подписных листов может быть произведена позднее дня начала сбора подписей.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bCs/>
          <w:sz w:val="24"/>
          <w:szCs w:val="24"/>
        </w:rPr>
        <w:tab/>
        <w:t xml:space="preserve">2.6. Кандидат, создавший избирательный фонд без открытия специального избирательного счета, в качестве документов, подтверждающих оплату изготовления подписных листов, предоставляет     в избирательную комиссию: кассовые и товарные чеки на покупку бумаги, расходных материалов для картриджа (если подписные листы изготавливались на собственной оргтехнике); договор с организацией на оказание услуг по изготовлению подписных листов, акт выполненных работ и документ, подтверждающий оплату (если подписные листы изготавливались типографским способом);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услуги.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 xml:space="preserve">2.7. 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</w:t>
      </w:r>
      <w:r w:rsidRPr="004C7E98">
        <w:rPr>
          <w:rFonts w:ascii="Times New Roman" w:hAnsi="Times New Roman" w:cs="Times New Roman"/>
          <w:sz w:val="24"/>
          <w:szCs w:val="24"/>
        </w:rPr>
        <w:lastRenderedPageBreak/>
        <w:t>и услуги должны подтверждаться актами о выполнении работ, накладными на получение товаров подписанными сторонами договора.</w:t>
      </w:r>
    </w:p>
    <w:p w:rsidR="00177FCA" w:rsidRPr="004C7E98" w:rsidRDefault="00177FCA" w:rsidP="00177FCA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Выполнение оплачиваемых работ (оказание платных услуг), реализация товаров, прямо или косвенно связанных с выборами                    и направленных на достижение определенного результата на выборах, запрещаются без документально подтвержденного по форме № 1-2 (приложение №1)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177FCA" w:rsidRPr="004C7E98" w:rsidRDefault="00177FCA" w:rsidP="00177FCA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 xml:space="preserve">Основанием произведенных из избирательного фонда расходов является договор, заключенный между кандидатом (или от имени кандидата его уполномоченным представителем по финансовым вопросам)                    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2.8. 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177FCA" w:rsidRPr="004C7E98" w:rsidRDefault="00177FCA" w:rsidP="00177FC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177FCA" w:rsidRPr="004C7E98" w:rsidRDefault="00177FCA" w:rsidP="00177FC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Все агитационные материалы должны изготавливаться на территории Российской Федерации.</w:t>
      </w:r>
    </w:p>
    <w:p w:rsidR="00177FCA" w:rsidRPr="004C7E98" w:rsidRDefault="00177FCA" w:rsidP="00177FC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 xml:space="preserve">2.9.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 статьей 54 Федерального закона. 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2.10. 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       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          с указанием канала вещания, названия передачи и времени ее выхода            в эфир.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2.11. Платежный документ о перечислении в полном объеме средств    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чем за один день до дня предоставления эфирного времени. </w:t>
      </w:r>
    </w:p>
    <w:p w:rsidR="00177FCA" w:rsidRPr="004C7E98" w:rsidRDefault="00177FCA" w:rsidP="00177FC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 xml:space="preserve">Платежный документ о перечислении в полном объеме средств             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чем за два дня до дня публикации предвыборного агитационного материала. </w:t>
      </w:r>
    </w:p>
    <w:p w:rsidR="00177FCA" w:rsidRPr="004C7E98" w:rsidRDefault="00177FCA" w:rsidP="00177FC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>2.12. 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 xml:space="preserve">2.13. 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осуществляется в срок не более трех рабочих дней начиная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со дня списания денежных средств со специального избирательного счета зарегистрированного кандидата.   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2.14. Во всех предвыборных агитационных материалах, размещаемых   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177FCA" w:rsidRPr="004C7E98" w:rsidRDefault="00177FCA" w:rsidP="00177F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2.15. 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Все печатные и аудиовизуальные агитационные материалы должны содержать наименование, юридический адрес                                     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1C51E9" w:rsidRPr="004C7E98" w:rsidRDefault="00177FCA" w:rsidP="001C51E9">
      <w:pPr>
        <w:pStyle w:val="12-15"/>
        <w:widowControl/>
        <w:spacing w:line="240" w:lineRule="auto"/>
        <w:rPr>
          <w:szCs w:val="24"/>
        </w:rPr>
      </w:pPr>
      <w:r w:rsidRPr="004C7E98">
        <w:rPr>
          <w:szCs w:val="24"/>
        </w:rPr>
        <w:t xml:space="preserve">2.16. Оплата изготовления, а также распространения </w:t>
      </w:r>
      <w:r w:rsidR="001C51E9" w:rsidRPr="004C7E98">
        <w:rPr>
          <w:szCs w:val="24"/>
        </w:rPr>
        <w:t>каждого тиража предвыборного агитационного материала должна производиться отдельными платежными поручениями.</w:t>
      </w:r>
    </w:p>
    <w:p w:rsidR="001C51E9" w:rsidRPr="004C7E98" w:rsidRDefault="001C51E9" w:rsidP="001C51E9">
      <w:pPr>
        <w:pStyle w:val="12-15"/>
        <w:widowControl/>
        <w:spacing w:line="240" w:lineRule="auto"/>
        <w:rPr>
          <w:szCs w:val="24"/>
        </w:rPr>
      </w:pPr>
      <w:r w:rsidRPr="004C7E98">
        <w:rPr>
          <w:szCs w:val="24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1C51E9" w:rsidRPr="004C7E98" w:rsidRDefault="001C51E9" w:rsidP="001C51E9">
      <w:pPr>
        <w:pStyle w:val="12-15"/>
        <w:widowControl/>
        <w:spacing w:line="240" w:lineRule="auto"/>
        <w:ind w:firstLine="0"/>
        <w:rPr>
          <w:szCs w:val="24"/>
        </w:rPr>
      </w:pPr>
      <w:r w:rsidRPr="004C7E98">
        <w:rPr>
          <w:szCs w:val="24"/>
        </w:rPr>
        <w:tab/>
        <w:t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            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1C51E9" w:rsidRPr="004C7E98" w:rsidRDefault="001C51E9" w:rsidP="001C51E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 xml:space="preserve">2.17. В период избирательной кампании оплата рекламы коммерческой и иной не связанной с выборами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депутатов советов депутатов муниципальных образований деятельности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с использованием фамилии        и изображения кандидата осуществляется за счет средств избирательного фонда кандидата. </w:t>
      </w:r>
    </w:p>
    <w:p w:rsidR="001C51E9" w:rsidRPr="004C7E98" w:rsidRDefault="001C51E9" w:rsidP="001C51E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1C51E9" w:rsidRPr="004C7E98" w:rsidRDefault="001C51E9" w:rsidP="001C51E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tab/>
        <w:t>2.18. 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1C51E9" w:rsidRPr="004C7E98" w:rsidRDefault="001C51E9" w:rsidP="001C51E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E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2.19. Кандидатам, их доверенным лицам и уполномоченным представителям по финансовым вопросам, а также иным лицам                     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            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     и других материальных благ (в том числе по итогам голосования), оказания услуг </w:t>
      </w:r>
      <w:proofErr w:type="gramStart"/>
      <w:r w:rsidRPr="004C7E98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4C7E98">
        <w:rPr>
          <w:rFonts w:ascii="Times New Roman" w:hAnsi="Times New Roman" w:cs="Times New Roman"/>
          <w:sz w:val="24"/>
          <w:szCs w:val="24"/>
        </w:rPr>
        <w:t xml:space="preserve"> чем на основании принимаемых в соответствии                            с Законодательством Российской Федерации решений органов государственной власти, органов местного самоуправления.</w:t>
      </w:r>
    </w:p>
    <w:p w:rsidR="001C51E9" w:rsidRPr="004C7E98" w:rsidRDefault="001C51E9" w:rsidP="001C51E9">
      <w:pPr>
        <w:pStyle w:val="14"/>
        <w:spacing w:line="240" w:lineRule="auto"/>
        <w:ind w:firstLine="0"/>
        <w:rPr>
          <w:sz w:val="24"/>
          <w:szCs w:val="24"/>
        </w:rPr>
      </w:pPr>
    </w:p>
    <w:p w:rsidR="001C51E9" w:rsidRPr="004C7E98" w:rsidRDefault="001C51E9" w:rsidP="001C51E9">
      <w:pPr>
        <w:pStyle w:val="14"/>
        <w:spacing w:line="240" w:lineRule="auto"/>
        <w:jc w:val="center"/>
        <w:rPr>
          <w:b/>
          <w:sz w:val="24"/>
          <w:szCs w:val="24"/>
        </w:rPr>
      </w:pPr>
      <w:r w:rsidRPr="004C7E98">
        <w:rPr>
          <w:b/>
          <w:sz w:val="24"/>
          <w:szCs w:val="24"/>
        </w:rPr>
        <w:t>3. Отчетность по средствам избирательных фондов</w:t>
      </w:r>
    </w:p>
    <w:p w:rsidR="001C51E9" w:rsidRPr="004C7E98" w:rsidRDefault="001C51E9" w:rsidP="001C51E9">
      <w:pPr>
        <w:pStyle w:val="14"/>
        <w:spacing w:line="240" w:lineRule="auto"/>
        <w:jc w:val="center"/>
        <w:rPr>
          <w:sz w:val="24"/>
          <w:szCs w:val="24"/>
        </w:rPr>
      </w:pPr>
    </w:p>
    <w:p w:rsidR="001C51E9" w:rsidRPr="004C7E98" w:rsidRDefault="001C51E9" w:rsidP="001C51E9">
      <w:pPr>
        <w:pStyle w:val="a9"/>
        <w:tabs>
          <w:tab w:val="left" w:pos="708"/>
        </w:tabs>
        <w:ind w:firstLine="567"/>
      </w:pPr>
      <w:r w:rsidRPr="004C7E98">
        <w:t xml:space="preserve">3.1. 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1C51E9" w:rsidRPr="004C7E98" w:rsidRDefault="001C51E9" w:rsidP="001C51E9">
      <w:pPr>
        <w:pStyle w:val="a9"/>
        <w:tabs>
          <w:tab w:val="left" w:pos="708"/>
        </w:tabs>
        <w:ind w:firstLine="567"/>
      </w:pPr>
      <w:r w:rsidRPr="004C7E98">
        <w:t>3.2. До сдачи итогового финансового отчета все наличные средства, оставшиеся у кандидата, должны быть возвращены кандидатом на специальный 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1C51E9" w:rsidRPr="004C7E98" w:rsidRDefault="001C51E9" w:rsidP="001C51E9">
      <w:pPr>
        <w:pStyle w:val="a9"/>
        <w:tabs>
          <w:tab w:val="left" w:pos="708"/>
        </w:tabs>
        <w:ind w:firstLine="567"/>
      </w:pPr>
      <w:r w:rsidRPr="004C7E98"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1C51E9" w:rsidRPr="004C7E98" w:rsidRDefault="001C51E9" w:rsidP="001C51E9">
      <w:pPr>
        <w:pStyle w:val="a9"/>
        <w:tabs>
          <w:tab w:val="left" w:pos="708"/>
        </w:tabs>
        <w:ind w:firstLine="567"/>
      </w:pPr>
      <w:r w:rsidRPr="004C7E98">
        <w:t>3.3. </w:t>
      </w:r>
      <w:proofErr w:type="gramStart"/>
      <w:r w:rsidRPr="004C7E98"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  <w:proofErr w:type="gramEnd"/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3.4. </w:t>
      </w:r>
      <w:proofErr w:type="gramStart"/>
      <w:r w:rsidRPr="004C7E98">
        <w:rPr>
          <w:sz w:val="24"/>
          <w:szCs w:val="24"/>
        </w:rPr>
        <w:t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по форме согласно приложению № 2 с приложением формы учета поступления и расходования денежных средств избирательного фонда по форме согласно приложению     № 3 и банковской справки о закрытии специального избирательного счета или об</w:t>
      </w:r>
      <w:proofErr w:type="gramEnd"/>
      <w:r w:rsidRPr="004C7E98">
        <w:rPr>
          <w:sz w:val="24"/>
          <w:szCs w:val="24"/>
        </w:rPr>
        <w:t xml:space="preserve"> </w:t>
      </w:r>
      <w:proofErr w:type="gramStart"/>
      <w:r w:rsidRPr="004C7E98">
        <w:rPr>
          <w:sz w:val="24"/>
          <w:szCs w:val="24"/>
        </w:rPr>
        <w:t>остатке</w:t>
      </w:r>
      <w:proofErr w:type="gramEnd"/>
      <w:r w:rsidRPr="004C7E98">
        <w:rPr>
          <w:sz w:val="24"/>
          <w:szCs w:val="24"/>
        </w:rPr>
        <w:t xml:space="preserve">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К итоговому финансовому отчету прилагаются первичные финансовые документы, подтверждающие поступление средств в избирательный фонд      и расходование этих средств. Примерный перечень прилагаемых к итоговому финансовому отчету документов приведен в приложении № 4.</w:t>
      </w:r>
    </w:p>
    <w:p w:rsidR="001C51E9" w:rsidRPr="004C7E98" w:rsidRDefault="001C51E9" w:rsidP="001C51E9">
      <w:pPr>
        <w:pStyle w:val="14"/>
        <w:spacing w:line="240" w:lineRule="auto"/>
        <w:rPr>
          <w:i/>
          <w:iCs/>
          <w:sz w:val="24"/>
          <w:szCs w:val="24"/>
        </w:rPr>
      </w:pPr>
      <w:r w:rsidRPr="004C7E98">
        <w:rPr>
          <w:sz w:val="24"/>
          <w:szCs w:val="24"/>
        </w:rP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1C51E9" w:rsidRPr="004C7E98" w:rsidRDefault="001C51E9" w:rsidP="001C51E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3.5. </w:t>
      </w:r>
      <w:proofErr w:type="gramStart"/>
      <w:r w:rsidRPr="004C7E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Pr="004C7E98">
        <w:rPr>
          <w:rFonts w:ascii="Times New Roman" w:hAnsi="Times New Roman" w:cs="Times New Roman"/>
          <w:b w:val="0"/>
          <w:sz w:val="24"/>
          <w:szCs w:val="24"/>
        </w:rPr>
        <w:t>о размере своего избирательного фонда и всех источниках его формирования, а также обо всех расходах, произведенных за счет средств своего избирательного фонда с приложением формы учета поступления           и расходования средств избирательного фонда.</w:t>
      </w:r>
      <w:proofErr w:type="gramEnd"/>
      <w:r w:rsidRPr="004C7E98">
        <w:rPr>
          <w:rFonts w:ascii="Times New Roman" w:hAnsi="Times New Roman" w:cs="Times New Roman"/>
          <w:b w:val="0"/>
          <w:sz w:val="24"/>
          <w:szCs w:val="24"/>
        </w:rPr>
        <w:t xml:space="preserve">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3.6. 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1C51E9" w:rsidRPr="004C7E98" w:rsidRDefault="001C51E9" w:rsidP="001C51E9">
      <w:pPr>
        <w:pStyle w:val="14"/>
        <w:spacing w:line="240" w:lineRule="auto"/>
        <w:rPr>
          <w:i/>
          <w:iCs/>
          <w:sz w:val="24"/>
          <w:szCs w:val="24"/>
        </w:rPr>
      </w:pPr>
      <w:r w:rsidRPr="004C7E98">
        <w:rPr>
          <w:sz w:val="24"/>
          <w:szCs w:val="24"/>
        </w:rPr>
        <w:t>Первичные финансовые документы должны быть сброшюрованы           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средств.</w:t>
      </w:r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3.7. Финансовый отчет подписывается кандидатом (зарегистрированным кандидатом).</w:t>
      </w:r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1C51E9" w:rsidRPr="004C7E98" w:rsidRDefault="001C51E9" w:rsidP="001C51E9">
      <w:pPr>
        <w:pStyle w:val="14"/>
        <w:spacing w:line="240" w:lineRule="auto"/>
        <w:rPr>
          <w:sz w:val="24"/>
          <w:szCs w:val="24"/>
        </w:rPr>
      </w:pPr>
      <w:r w:rsidRPr="004C7E98">
        <w:rPr>
          <w:sz w:val="24"/>
          <w:szCs w:val="24"/>
        </w:rPr>
        <w:t>3.8. </w:t>
      </w:r>
      <w:proofErr w:type="spellStart"/>
      <w:proofErr w:type="gramStart"/>
      <w:r w:rsidRPr="004C7E98">
        <w:rPr>
          <w:sz w:val="24"/>
          <w:szCs w:val="24"/>
        </w:rPr>
        <w:t>Непредоставление</w:t>
      </w:r>
      <w:proofErr w:type="spellEnd"/>
      <w:r w:rsidRPr="004C7E98">
        <w:rPr>
          <w:sz w:val="24"/>
          <w:szCs w:val="24"/>
        </w:rPr>
        <w:t xml:space="preserve">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  <w:proofErr w:type="gramEnd"/>
    </w:p>
    <w:p w:rsidR="001C51E9" w:rsidRDefault="001C51E9" w:rsidP="001C51E9">
      <w:pPr>
        <w:pStyle w:val="14"/>
        <w:spacing w:line="240" w:lineRule="auto"/>
      </w:pPr>
    </w:p>
    <w:p w:rsidR="001C51E9" w:rsidRDefault="001C51E9" w:rsidP="001C51E9">
      <w:pPr>
        <w:pStyle w:val="14"/>
        <w:spacing w:before="120" w:line="240" w:lineRule="auto"/>
      </w:pPr>
    </w:p>
    <w:p w:rsidR="001C51E9" w:rsidRDefault="001C51E9" w:rsidP="001C51E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C51E9" w:rsidTr="004E1942">
        <w:tc>
          <w:tcPr>
            <w:tcW w:w="9349" w:type="dxa"/>
          </w:tcPr>
          <w:p w:rsidR="001C51E9" w:rsidRDefault="001C51E9" w:rsidP="004E1942">
            <w:pPr>
              <w:ind w:left="3969"/>
              <w:jc w:val="right"/>
              <w:rPr>
                <w:bCs/>
                <w:lang w:eastAsia="en-US"/>
              </w:rPr>
            </w:pPr>
            <w:r w:rsidRPr="00023A9E">
              <w:rPr>
                <w:bCs/>
                <w:lang w:eastAsia="en-US"/>
              </w:rPr>
              <w:lastRenderedPageBreak/>
              <w:t xml:space="preserve"> Приложение №</w:t>
            </w:r>
            <w:r>
              <w:rPr>
                <w:bCs/>
                <w:lang w:eastAsia="en-US"/>
              </w:rPr>
              <w:t>1</w:t>
            </w:r>
          </w:p>
          <w:p w:rsidR="001C51E9" w:rsidRPr="00023A9E" w:rsidRDefault="001C51E9" w:rsidP="004E1942">
            <w:pPr>
              <w:ind w:left="3969"/>
              <w:jc w:val="right"/>
              <w:rPr>
                <w:bCs/>
                <w:lang w:eastAsia="en-US"/>
              </w:rPr>
            </w:pPr>
          </w:p>
          <w:p w:rsidR="001C51E9" w:rsidRPr="00B43F2F" w:rsidRDefault="001C51E9" w:rsidP="004E1942">
            <w:pPr>
              <w:pStyle w:val="14-15"/>
              <w:widowControl/>
              <w:spacing w:line="240" w:lineRule="auto"/>
              <w:ind w:left="5103" w:hanging="1701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Pr="00B43F2F">
              <w:rPr>
                <w:bCs/>
                <w:sz w:val="22"/>
                <w:szCs w:val="22"/>
                <w:lang w:eastAsia="en-US"/>
              </w:rPr>
              <w:t xml:space="preserve">К </w:t>
            </w:r>
            <w:r w:rsidRPr="00B43F2F">
              <w:rPr>
                <w:sz w:val="22"/>
                <w:szCs w:val="22"/>
              </w:rPr>
              <w:t xml:space="preserve">Порядку формирования и расходования денежных средств избирательных фондов кандидатов при проведении </w:t>
            </w:r>
            <w:proofErr w:type="gramStart"/>
            <w:r w:rsidRPr="00B43F2F">
              <w:rPr>
                <w:sz w:val="22"/>
                <w:szCs w:val="22"/>
              </w:rPr>
              <w:t xml:space="preserve">выборов </w:t>
            </w:r>
            <w:r w:rsidR="00634454">
              <w:rPr>
                <w:bCs/>
                <w:sz w:val="22"/>
                <w:szCs w:val="22"/>
              </w:rPr>
              <w:t>депутатов С</w:t>
            </w:r>
            <w:r w:rsidRPr="00B43F2F">
              <w:rPr>
                <w:bCs/>
                <w:sz w:val="22"/>
                <w:szCs w:val="22"/>
              </w:rPr>
              <w:t>оветов депутатов муниципальных образований</w:t>
            </w:r>
            <w:proofErr w:type="gramEnd"/>
            <w:r w:rsidRPr="00B43F2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34454">
              <w:rPr>
                <w:bCs/>
                <w:sz w:val="22"/>
                <w:szCs w:val="22"/>
              </w:rPr>
              <w:t>Приозерского</w:t>
            </w:r>
            <w:proofErr w:type="spellEnd"/>
            <w:r w:rsidR="00634454">
              <w:rPr>
                <w:bCs/>
                <w:sz w:val="22"/>
                <w:szCs w:val="22"/>
              </w:rPr>
              <w:t xml:space="preserve"> муниципального района </w:t>
            </w:r>
            <w:r w:rsidRPr="00B43F2F">
              <w:rPr>
                <w:bCs/>
                <w:sz w:val="22"/>
                <w:szCs w:val="22"/>
              </w:rPr>
              <w:t>Ленинградской области</w:t>
            </w:r>
          </w:p>
          <w:p w:rsidR="001C51E9" w:rsidRPr="00023A9E" w:rsidRDefault="001C51E9" w:rsidP="004E194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1C51E9" w:rsidRPr="00023A9E" w:rsidRDefault="001C51E9" w:rsidP="004E1942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3A9E"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1C51E9" w:rsidRDefault="001C51E9" w:rsidP="004E194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Подтверждение </w:t>
            </w:r>
          </w:p>
          <w:p w:rsidR="001C51E9" w:rsidRDefault="001C51E9" w:rsidP="004E19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согласия уполномоченного представителя кандидата по финансовым вопросам при проведении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выборов депутатов совета депутатов муниципального образования ______________________________Ленинградской области</w:t>
            </w:r>
            <w:proofErr w:type="gramEnd"/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(наименование муниципального образования)</w:t>
            </w:r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622"/>
              <w:gridCol w:w="9026"/>
            </w:tblGrid>
            <w:tr w:rsidR="001C51E9" w:rsidTr="004E1942">
              <w:tc>
                <w:tcPr>
                  <w:tcW w:w="622" w:type="dxa"/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C51E9" w:rsidTr="004E1942">
              <w:tc>
                <w:tcPr>
                  <w:tcW w:w="622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1C51E9" w:rsidRDefault="001C51E9" w:rsidP="004E19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1C51E9" w:rsidTr="004E1942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C51E9" w:rsidTr="004E1942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(фамилия, имя, отчество кандидата)</w:t>
                  </w:r>
                </w:p>
              </w:tc>
            </w:tr>
            <w:tr w:rsidR="001C51E9" w:rsidTr="004E1942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C51E9" w:rsidTr="004E1942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одномандатного (многомандатного) избирательного округа)</w:t>
                  </w:r>
                </w:p>
              </w:tc>
            </w:tr>
          </w:tbl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7883"/>
            </w:tblGrid>
            <w:tr w:rsidR="001C51E9" w:rsidTr="004E1942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1C51E9" w:rsidTr="004E1942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1C51E9" w:rsidTr="004E1942">
              <w:tc>
                <w:tcPr>
                  <w:tcW w:w="9611" w:type="dxa"/>
                  <w:gridSpan w:val="2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C51E9" w:rsidTr="004E1942">
              <w:tc>
                <w:tcPr>
                  <w:tcW w:w="1728" w:type="dxa"/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C51E9" w:rsidTr="004E1942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68"/>
              <w:gridCol w:w="1260"/>
              <w:gridCol w:w="3343"/>
            </w:tblGrid>
            <w:tr w:rsidR="001C51E9" w:rsidTr="004E1942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1C51E9" w:rsidRDefault="001C51E9" w:rsidP="004E194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1C51E9" w:rsidRDefault="001C51E9" w:rsidP="004E194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1C51E9" w:rsidRDefault="001C51E9" w:rsidP="004E1942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C51E9" w:rsidRDefault="001C51E9" w:rsidP="004E1942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C51E9" w:rsidTr="004E1942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1E9" w:rsidRDefault="001C51E9" w:rsidP="004E194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C51E9" w:rsidTr="004E1942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1E9" w:rsidRDefault="001C51E9" w:rsidP="004E194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1C51E9" w:rsidRDefault="001C51E9" w:rsidP="004E1942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1C51E9" w:rsidTr="004E1942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1E9" w:rsidRDefault="001C51E9" w:rsidP="004E194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C51E9" w:rsidRDefault="001C51E9" w:rsidP="004E194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1C51E9" w:rsidTr="004E1942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51E9" w:rsidRDefault="001C51E9" w:rsidP="004E194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1C51E9" w:rsidRDefault="001C51E9" w:rsidP="004E194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C51E9" w:rsidRDefault="001C51E9" w:rsidP="004E1942">
            <w:pPr>
              <w:rPr>
                <w:lang w:eastAsia="en-US"/>
              </w:rPr>
            </w:pPr>
          </w:p>
        </w:tc>
      </w:tr>
      <w:tr w:rsidR="001C51E9" w:rsidTr="004E1942">
        <w:tc>
          <w:tcPr>
            <w:tcW w:w="9349" w:type="dxa"/>
            <w:hideMark/>
          </w:tcPr>
          <w:p w:rsidR="001C51E9" w:rsidRDefault="001C51E9" w:rsidP="004E1942">
            <w:pPr>
              <w:rPr>
                <w:rFonts w:eastAsiaTheme="minorHAnsi"/>
                <w:lang w:eastAsia="en-US"/>
              </w:rPr>
            </w:pPr>
          </w:p>
        </w:tc>
      </w:tr>
    </w:tbl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A60803" w:rsidRDefault="00A60803" w:rsidP="001C51E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A60803" w:rsidRDefault="00A60803" w:rsidP="001C51E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A60803" w:rsidRDefault="00A60803" w:rsidP="001C51E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1C51E9" w:rsidRDefault="001C51E9" w:rsidP="001C51E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lastRenderedPageBreak/>
        <w:t>Форма № 2</w:t>
      </w:r>
    </w:p>
    <w:p w:rsidR="001C51E9" w:rsidRDefault="001C51E9" w:rsidP="001C51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C51E9" w:rsidRDefault="001C51E9" w:rsidP="001C51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1C51E9" w:rsidRDefault="001C51E9" w:rsidP="001C51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</w:t>
      </w:r>
      <w:r w:rsidR="00A60803">
        <w:rPr>
          <w:rFonts w:ascii="Times New Roman" w:hAnsi="Times New Roman" w:cs="Times New Roman"/>
          <w:b/>
          <w:bCs/>
          <w:sz w:val="24"/>
          <w:szCs w:val="24"/>
        </w:rPr>
        <w:t xml:space="preserve">ри проведении </w:t>
      </w:r>
      <w:proofErr w:type="gramStart"/>
      <w:r w:rsidR="00A60803">
        <w:rPr>
          <w:rFonts w:ascii="Times New Roman" w:hAnsi="Times New Roman" w:cs="Times New Roman"/>
          <w:b/>
          <w:bCs/>
          <w:sz w:val="24"/>
          <w:szCs w:val="24"/>
        </w:rPr>
        <w:t>выборов депутатов С</w:t>
      </w:r>
      <w:r>
        <w:rPr>
          <w:rFonts w:ascii="Times New Roman" w:hAnsi="Times New Roman" w:cs="Times New Roman"/>
          <w:b/>
          <w:bCs/>
          <w:sz w:val="24"/>
          <w:szCs w:val="24"/>
        </w:rPr>
        <w:t>овета депутатов муниципального образования ____________________________ Ленинградской области</w:t>
      </w:r>
      <w:proofErr w:type="gramEnd"/>
    </w:p>
    <w:p w:rsidR="001C51E9" w:rsidRDefault="001C51E9" w:rsidP="001C51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муниципального образования)</w:t>
      </w:r>
    </w:p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8949"/>
        <w:gridCol w:w="77"/>
      </w:tblGrid>
      <w:tr w:rsidR="001C51E9" w:rsidTr="004E1942">
        <w:tc>
          <w:tcPr>
            <w:tcW w:w="622" w:type="dxa"/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C51E9" w:rsidTr="004E1942">
        <w:tc>
          <w:tcPr>
            <w:tcW w:w="622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1C51E9" w:rsidTr="004E1942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кандидатом в депутаты совета депутатов муниципального образования</w:t>
            </w:r>
          </w:p>
        </w:tc>
      </w:tr>
      <w:tr w:rsidR="001C51E9" w:rsidTr="004E1942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Default="001C51E9" w:rsidP="004E1942">
            <w:pPr>
              <w:rPr>
                <w:rFonts w:eastAsiaTheme="minorHAnsi"/>
                <w:lang w:eastAsia="en-US"/>
              </w:rPr>
            </w:pPr>
          </w:p>
        </w:tc>
      </w:tr>
      <w:tr w:rsidR="001C51E9" w:rsidTr="004E1942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(наименование муниципального образования, наименование одномандатного (многомандатного) </w:t>
            </w:r>
            <w:proofErr w:type="gramEnd"/>
          </w:p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избирательного округа)</w:t>
            </w:r>
          </w:p>
        </w:tc>
      </w:tr>
    </w:tbl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83"/>
      </w:tblGrid>
      <w:tr w:rsidR="001C51E9" w:rsidTr="004E1942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1C51E9" w:rsidTr="004E1942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1C51E9" w:rsidTr="004E1942">
        <w:tc>
          <w:tcPr>
            <w:tcW w:w="9611" w:type="dxa"/>
            <w:gridSpan w:val="2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1E9" w:rsidTr="004E1942">
        <w:tc>
          <w:tcPr>
            <w:tcW w:w="1728" w:type="dxa"/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51E9" w:rsidTr="004E1942">
        <w:trPr>
          <w:cantSplit/>
        </w:trPr>
        <w:tc>
          <w:tcPr>
            <w:tcW w:w="9611" w:type="dxa"/>
            <w:gridSpan w:val="2"/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1E9" w:rsidRDefault="001C51E9" w:rsidP="001C51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51E9" w:rsidRDefault="001C51E9" w:rsidP="001C51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1C51E9" w:rsidTr="004E1942">
        <w:trPr>
          <w:cantSplit/>
        </w:trPr>
        <w:tc>
          <w:tcPr>
            <w:tcW w:w="4968" w:type="dxa"/>
            <w:vMerge w:val="restart"/>
          </w:tcPr>
          <w:p w:rsidR="001C51E9" w:rsidRDefault="001C51E9" w:rsidP="004E19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1C51E9" w:rsidRDefault="001C51E9" w:rsidP="004E19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51E9" w:rsidTr="004E1942">
        <w:trPr>
          <w:cantSplit/>
        </w:trPr>
        <w:tc>
          <w:tcPr>
            <w:tcW w:w="0" w:type="auto"/>
            <w:vMerge/>
            <w:vAlign w:val="center"/>
            <w:hideMark/>
          </w:tcPr>
          <w:p w:rsidR="001C51E9" w:rsidRDefault="001C51E9" w:rsidP="004E1942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51E9" w:rsidTr="004E1942">
        <w:trPr>
          <w:cantSplit/>
        </w:trPr>
        <w:tc>
          <w:tcPr>
            <w:tcW w:w="0" w:type="auto"/>
            <w:vMerge/>
            <w:vAlign w:val="center"/>
            <w:hideMark/>
          </w:tcPr>
          <w:p w:rsidR="001C51E9" w:rsidRDefault="001C51E9" w:rsidP="004E1942">
            <w:pPr>
              <w:rPr>
                <w:lang w:eastAsia="en-US"/>
              </w:rPr>
            </w:pPr>
          </w:p>
        </w:tc>
        <w:tc>
          <w:tcPr>
            <w:tcW w:w="1260" w:type="dxa"/>
            <w:hideMark/>
          </w:tcPr>
          <w:p w:rsidR="001C51E9" w:rsidRDefault="001C51E9" w:rsidP="004E19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1C51E9" w:rsidTr="004E1942">
        <w:trPr>
          <w:cantSplit/>
        </w:trPr>
        <w:tc>
          <w:tcPr>
            <w:tcW w:w="0" w:type="auto"/>
            <w:vMerge/>
            <w:vAlign w:val="center"/>
            <w:hideMark/>
          </w:tcPr>
          <w:p w:rsidR="001C51E9" w:rsidRDefault="001C51E9" w:rsidP="004E1942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51E9" w:rsidTr="004E1942">
        <w:trPr>
          <w:cantSplit/>
        </w:trPr>
        <w:tc>
          <w:tcPr>
            <w:tcW w:w="0" w:type="auto"/>
            <w:vMerge/>
            <w:vAlign w:val="center"/>
            <w:hideMark/>
          </w:tcPr>
          <w:p w:rsidR="001C51E9" w:rsidRDefault="001C51E9" w:rsidP="004E1942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1C51E9" w:rsidRDefault="001C51E9" w:rsidP="004E194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51E9" w:rsidRDefault="001C51E9" w:rsidP="001C51E9">
      <w:pPr>
        <w:spacing w:after="120"/>
        <w:ind w:left="5664" w:firstLine="708"/>
      </w:pPr>
    </w:p>
    <w:p w:rsidR="001C51E9" w:rsidRDefault="001C51E9" w:rsidP="001C51E9">
      <w:r>
        <w:br w:type="page"/>
      </w:r>
    </w:p>
    <w:p w:rsidR="001C51E9" w:rsidRPr="00565FD3" w:rsidRDefault="001C51E9" w:rsidP="001C51E9">
      <w:pPr>
        <w:spacing w:after="120"/>
        <w:ind w:left="3969"/>
        <w:jc w:val="center"/>
      </w:pPr>
      <w:r w:rsidRPr="00565FD3">
        <w:lastRenderedPageBreak/>
        <w:t xml:space="preserve">Приложение № </w:t>
      </w:r>
      <w:r>
        <w:t>2</w:t>
      </w:r>
    </w:p>
    <w:p w:rsidR="001C51E9" w:rsidRPr="00B43F2F" w:rsidRDefault="001C51E9" w:rsidP="006D7564">
      <w:pPr>
        <w:pStyle w:val="14-15"/>
        <w:widowControl/>
        <w:spacing w:line="240" w:lineRule="auto"/>
        <w:ind w:left="5103" w:hanging="4536"/>
        <w:jc w:val="left"/>
        <w:rPr>
          <w:b/>
          <w:bCs/>
          <w:sz w:val="22"/>
          <w:szCs w:val="22"/>
        </w:rPr>
      </w:pPr>
      <w:r>
        <w:rPr>
          <w:sz w:val="22"/>
        </w:rPr>
        <w:tab/>
      </w:r>
      <w:r>
        <w:rPr>
          <w:bCs/>
          <w:sz w:val="22"/>
          <w:szCs w:val="22"/>
          <w:lang w:eastAsia="en-US"/>
        </w:rPr>
        <w:t>К п</w:t>
      </w:r>
      <w:r w:rsidRPr="00B43F2F">
        <w:rPr>
          <w:sz w:val="22"/>
          <w:szCs w:val="22"/>
        </w:rPr>
        <w:t xml:space="preserve">орядку формирования и расходования денежных средств избирательных фондов кандидатов при проведении </w:t>
      </w:r>
      <w:proofErr w:type="gramStart"/>
      <w:r w:rsidRPr="00B43F2F">
        <w:rPr>
          <w:sz w:val="22"/>
          <w:szCs w:val="22"/>
        </w:rPr>
        <w:t xml:space="preserve">выборов </w:t>
      </w:r>
      <w:r w:rsidR="006D7564">
        <w:rPr>
          <w:bCs/>
          <w:sz w:val="22"/>
          <w:szCs w:val="22"/>
        </w:rPr>
        <w:t>депутатов С</w:t>
      </w:r>
      <w:r w:rsidRPr="00B43F2F">
        <w:rPr>
          <w:bCs/>
          <w:sz w:val="22"/>
          <w:szCs w:val="22"/>
        </w:rPr>
        <w:t>оветов депутатов муниципальных образований</w:t>
      </w:r>
      <w:proofErr w:type="gramEnd"/>
      <w:r w:rsidRPr="00B43F2F">
        <w:rPr>
          <w:bCs/>
          <w:sz w:val="22"/>
          <w:szCs w:val="22"/>
        </w:rPr>
        <w:t xml:space="preserve"> </w:t>
      </w:r>
      <w:proofErr w:type="spellStart"/>
      <w:r w:rsidR="006D7564">
        <w:rPr>
          <w:bCs/>
          <w:sz w:val="22"/>
          <w:szCs w:val="22"/>
        </w:rPr>
        <w:t>Приозерского</w:t>
      </w:r>
      <w:proofErr w:type="spellEnd"/>
      <w:r w:rsidR="006D7564">
        <w:rPr>
          <w:bCs/>
          <w:sz w:val="22"/>
          <w:szCs w:val="22"/>
        </w:rPr>
        <w:t xml:space="preserve"> муниципального района </w:t>
      </w:r>
      <w:r w:rsidRPr="00B43F2F">
        <w:rPr>
          <w:bCs/>
          <w:sz w:val="22"/>
          <w:szCs w:val="22"/>
        </w:rPr>
        <w:t>Ленинградской области</w:t>
      </w:r>
    </w:p>
    <w:p w:rsidR="001C51E9" w:rsidRDefault="001C51E9" w:rsidP="001C51E9">
      <w:pPr>
        <w:pStyle w:val="14-15"/>
        <w:widowControl/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1E9" w:rsidRPr="00023A9E" w:rsidRDefault="001C51E9" w:rsidP="001C51E9">
      <w:pPr>
        <w:jc w:val="center"/>
        <w:rPr>
          <w:b/>
          <w:sz w:val="28"/>
          <w:szCs w:val="28"/>
        </w:rPr>
      </w:pPr>
      <w:r w:rsidRPr="00023A9E">
        <w:rPr>
          <w:b/>
          <w:sz w:val="28"/>
          <w:szCs w:val="28"/>
        </w:rPr>
        <w:t>Итоговый финансовый отчет</w:t>
      </w:r>
    </w:p>
    <w:p w:rsidR="001C51E9" w:rsidRPr="00023A9E" w:rsidRDefault="001C51E9" w:rsidP="001C51E9">
      <w:pPr>
        <w:jc w:val="center"/>
        <w:rPr>
          <w:b/>
          <w:sz w:val="28"/>
          <w:szCs w:val="28"/>
        </w:rPr>
      </w:pPr>
      <w:r w:rsidRPr="00023A9E">
        <w:rPr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1C51E9" w:rsidRPr="00023A9E" w:rsidRDefault="001C51E9" w:rsidP="001C51E9">
      <w:pPr>
        <w:jc w:val="both"/>
        <w:rPr>
          <w:sz w:val="28"/>
          <w:szCs w:val="28"/>
        </w:rPr>
      </w:pPr>
      <w:r w:rsidRPr="00023A9E">
        <w:rPr>
          <w:sz w:val="28"/>
          <w:szCs w:val="28"/>
        </w:rPr>
        <w:t>__________________________________________________________________</w:t>
      </w:r>
    </w:p>
    <w:p w:rsidR="001C51E9" w:rsidRPr="00023A9E" w:rsidRDefault="001C51E9" w:rsidP="001C51E9">
      <w:pPr>
        <w:jc w:val="both"/>
        <w:rPr>
          <w:sz w:val="20"/>
          <w:szCs w:val="20"/>
        </w:rPr>
      </w:pPr>
      <w:r w:rsidRPr="00023A9E">
        <w:rPr>
          <w:sz w:val="20"/>
          <w:szCs w:val="20"/>
        </w:rPr>
        <w:t xml:space="preserve">       </w:t>
      </w:r>
      <w:proofErr w:type="gramStart"/>
      <w:r w:rsidRPr="00023A9E">
        <w:rPr>
          <w:sz w:val="20"/>
          <w:szCs w:val="20"/>
        </w:rPr>
        <w:t>(наименование субъекта Российской Федерации, наименование муниципального образования</w:t>
      </w:r>
      <w:proofErr w:type="gramEnd"/>
    </w:p>
    <w:p w:rsidR="001C51E9" w:rsidRPr="00023A9E" w:rsidRDefault="001C51E9" w:rsidP="001C51E9">
      <w:pPr>
        <w:jc w:val="both"/>
        <w:rPr>
          <w:sz w:val="20"/>
          <w:szCs w:val="20"/>
        </w:rPr>
      </w:pPr>
      <w:r w:rsidRPr="00023A9E">
        <w:rPr>
          <w:sz w:val="20"/>
          <w:szCs w:val="20"/>
        </w:rPr>
        <w:t>___________________________________________________________________________________________</w:t>
      </w:r>
    </w:p>
    <w:p w:rsidR="001C51E9" w:rsidRPr="00023A9E" w:rsidRDefault="001C51E9" w:rsidP="001C51E9">
      <w:pPr>
        <w:jc w:val="both"/>
        <w:rPr>
          <w:sz w:val="20"/>
          <w:szCs w:val="20"/>
        </w:rPr>
      </w:pPr>
      <w:r w:rsidRPr="00023A9E">
        <w:rPr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1C51E9" w:rsidRPr="00023A9E" w:rsidRDefault="001C51E9" w:rsidP="001C51E9">
      <w:pPr>
        <w:jc w:val="both"/>
        <w:rPr>
          <w:sz w:val="20"/>
          <w:szCs w:val="20"/>
        </w:rPr>
      </w:pPr>
      <w:r w:rsidRPr="00023A9E">
        <w:rPr>
          <w:sz w:val="20"/>
          <w:szCs w:val="20"/>
        </w:rPr>
        <w:t>__________________________________________________________________________________________</w:t>
      </w:r>
    </w:p>
    <w:p w:rsidR="001C51E9" w:rsidRPr="00023A9E" w:rsidRDefault="001C51E9" w:rsidP="001C51E9">
      <w:pPr>
        <w:jc w:val="both"/>
        <w:rPr>
          <w:sz w:val="20"/>
          <w:szCs w:val="20"/>
        </w:rPr>
      </w:pPr>
      <w:r w:rsidRPr="00023A9E">
        <w:rPr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1C51E9" w:rsidRPr="00023A9E" w:rsidRDefault="001C51E9" w:rsidP="001C51E9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1C51E9" w:rsidRPr="00023A9E" w:rsidTr="004E194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1C51E9" w:rsidRPr="00023A9E" w:rsidTr="004E194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3"/>
                <w:lang w:eastAsia="en-US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</w:t>
            </w:r>
            <w:proofErr w:type="spellStart"/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</w:t>
            </w:r>
            <w:proofErr w:type="spellEnd"/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1C51E9" w:rsidRPr="00023A9E" w:rsidRDefault="001C51E9" w:rsidP="004E1942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 xml:space="preserve">для кандидатов, </w:t>
            </w:r>
            <w:proofErr w:type="spellStart"/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избирательными</w:t>
            </w:r>
            <w:proofErr w:type="spellEnd"/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</w:p>
        </w:tc>
      </w:tr>
      <w:tr w:rsidR="001C51E9" w:rsidRPr="00023A9E" w:rsidTr="004E194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023A9E" w:rsidRDefault="001C51E9" w:rsidP="004E1942">
            <w:pPr>
              <w:pStyle w:val="af2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023A9E" w:rsidRDefault="001C51E9" w:rsidP="004E1942">
            <w:pPr>
              <w:pStyle w:val="af2"/>
              <w:rPr>
                <w:b/>
                <w:bCs/>
                <w:lang w:eastAsia="en-US"/>
              </w:rPr>
            </w:pPr>
          </w:p>
        </w:tc>
      </w:tr>
    </w:tbl>
    <w:p w:rsidR="001C51E9" w:rsidRPr="00023A9E" w:rsidRDefault="001C51E9" w:rsidP="001C51E9">
      <w:pPr>
        <w:pStyle w:val="ae"/>
        <w:jc w:val="both"/>
        <w:rPr>
          <w:rFonts w:ascii="Times New Roman" w:hAnsi="Times New Roman"/>
          <w:sz w:val="20"/>
        </w:rPr>
      </w:pPr>
    </w:p>
    <w:p w:rsidR="001C51E9" w:rsidRPr="00023A9E" w:rsidRDefault="001C51E9" w:rsidP="001C51E9">
      <w:pPr>
        <w:pStyle w:val="ae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C51E9" w:rsidRPr="00023A9E" w:rsidRDefault="001C51E9" w:rsidP="001C51E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________-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1C51E9" w:rsidRPr="00023A9E" w:rsidRDefault="001C51E9" w:rsidP="001C51E9">
      <w:pPr>
        <w:pStyle w:val="ae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1C51E9" w:rsidRPr="00023A9E" w:rsidRDefault="001C51E9" w:rsidP="001C51E9">
      <w:pPr>
        <w:pStyle w:val="ae"/>
        <w:ind w:firstLine="709"/>
        <w:jc w:val="both"/>
        <w:rPr>
          <w:rFonts w:ascii="Times New Roman" w:hAnsi="Times New Roman"/>
          <w:sz w:val="20"/>
        </w:rPr>
      </w:pPr>
    </w:p>
    <w:p w:rsidR="001C51E9" w:rsidRPr="00023A9E" w:rsidRDefault="001C51E9" w:rsidP="001C51E9">
      <w:pPr>
        <w:pStyle w:val="ae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C51E9" w:rsidRPr="00023A9E" w:rsidRDefault="001C51E9" w:rsidP="001C51E9">
      <w:pPr>
        <w:pStyle w:val="ae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1C51E9" w:rsidRPr="00023A9E" w:rsidRDefault="001C51E9" w:rsidP="001C51E9">
      <w:pPr>
        <w:sectPr w:rsidR="001C51E9" w:rsidRPr="00023A9E" w:rsidSect="00B71C77">
          <w:headerReference w:type="default" r:id="rId9"/>
          <w:headerReference w:type="first" r:id="rId10"/>
          <w:pgSz w:w="11907" w:h="16840"/>
          <w:pgMar w:top="284" w:right="851" w:bottom="568" w:left="1418" w:header="720" w:footer="720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7"/>
        <w:gridCol w:w="6819"/>
      </w:tblGrid>
      <w:tr w:rsidR="001C51E9" w:rsidRPr="00565FD3" w:rsidTr="004E1942">
        <w:trPr>
          <w:trHeight w:val="1425"/>
        </w:trPr>
        <w:tc>
          <w:tcPr>
            <w:tcW w:w="7967" w:type="dxa"/>
          </w:tcPr>
          <w:p w:rsidR="001C51E9" w:rsidRPr="00565FD3" w:rsidRDefault="001C51E9" w:rsidP="004E1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19" w:type="dxa"/>
            <w:hideMark/>
          </w:tcPr>
          <w:p w:rsidR="001C51E9" w:rsidRPr="00565FD3" w:rsidRDefault="0016162A" w:rsidP="004E19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5.4pt;margin-top:-43.55pt;width:55.55pt;height:28.35pt;z-index:251661312;mso-position-horizontal-relative:text;mso-position-vertical-relative:text" strokecolor="white [3212]">
                  <v:textbox>
                    <w:txbxContent>
                      <w:p w:rsidR="00144C79" w:rsidRPr="007D71C9" w:rsidRDefault="00144C79" w:rsidP="001C51E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026" type="#_x0000_t202" style="position:absolute;left:0;text-align:left;margin-left:217.35pt;margin-top:-434.65pt;width:1in;height:26.1pt;z-index:251660288;mso-position-horizontal-relative:text;mso-position-vertical-relative:text" strokecolor="white [3212]">
                  <v:textbox>
                    <w:txbxContent>
                      <w:p w:rsidR="00144C79" w:rsidRPr="007D71C9" w:rsidRDefault="00144C79" w:rsidP="001C51E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D71C9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1C51E9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Приложение № 3</w:t>
            </w:r>
          </w:p>
          <w:p w:rsidR="001C51E9" w:rsidRPr="00B43F2F" w:rsidRDefault="001C51E9" w:rsidP="004E1942">
            <w:pPr>
              <w:pStyle w:val="14-15"/>
              <w:widowControl/>
              <w:spacing w:line="240" w:lineRule="auto"/>
              <w:ind w:left="1247" w:firstLine="0"/>
              <w:jc w:val="left"/>
              <w:rPr>
                <w:b/>
                <w:bCs/>
                <w:sz w:val="22"/>
                <w:szCs w:val="22"/>
              </w:rPr>
            </w:pPr>
            <w:r w:rsidRPr="00B43F2F">
              <w:rPr>
                <w:bCs/>
                <w:sz w:val="22"/>
                <w:szCs w:val="22"/>
                <w:lang w:eastAsia="en-US"/>
              </w:rPr>
              <w:t xml:space="preserve">К </w:t>
            </w:r>
            <w:r w:rsidRPr="00B43F2F">
              <w:rPr>
                <w:sz w:val="22"/>
                <w:szCs w:val="22"/>
              </w:rPr>
              <w:t xml:space="preserve">Порядку формирования и расходования денежных средств избирательных фондов кандидатов при проведении </w:t>
            </w:r>
            <w:proofErr w:type="gramStart"/>
            <w:r w:rsidRPr="00B43F2F">
              <w:rPr>
                <w:sz w:val="22"/>
                <w:szCs w:val="22"/>
              </w:rPr>
              <w:t xml:space="preserve">выборов </w:t>
            </w:r>
            <w:r w:rsidR="00FF1C89">
              <w:rPr>
                <w:bCs/>
                <w:sz w:val="22"/>
                <w:szCs w:val="22"/>
              </w:rPr>
              <w:t>депутатов С</w:t>
            </w:r>
            <w:r w:rsidRPr="00B43F2F">
              <w:rPr>
                <w:bCs/>
                <w:sz w:val="22"/>
                <w:szCs w:val="22"/>
              </w:rPr>
              <w:t>оветов депутатов муниципальных образований</w:t>
            </w:r>
            <w:proofErr w:type="gramEnd"/>
            <w:r w:rsidRPr="00B43F2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F1C89">
              <w:rPr>
                <w:bCs/>
                <w:sz w:val="22"/>
                <w:szCs w:val="22"/>
              </w:rPr>
              <w:t>Приозерского</w:t>
            </w:r>
            <w:proofErr w:type="spellEnd"/>
            <w:r w:rsidR="00FF1C89">
              <w:rPr>
                <w:bCs/>
                <w:sz w:val="22"/>
                <w:szCs w:val="22"/>
              </w:rPr>
              <w:t xml:space="preserve"> муниципального района </w:t>
            </w:r>
            <w:r w:rsidRPr="00B43F2F">
              <w:rPr>
                <w:bCs/>
                <w:sz w:val="22"/>
                <w:szCs w:val="22"/>
              </w:rPr>
              <w:t>Ленинградской области</w:t>
            </w:r>
          </w:p>
          <w:p w:rsidR="001C51E9" w:rsidRPr="00565FD3" w:rsidRDefault="001C51E9" w:rsidP="004E194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:rsidR="001C51E9" w:rsidRPr="00565FD3" w:rsidRDefault="001C51E9" w:rsidP="001C51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1C51E9" w:rsidRPr="00565FD3" w:rsidRDefault="001C51E9" w:rsidP="001C51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1C51E9" w:rsidRPr="00565FD3" w:rsidRDefault="001C51E9" w:rsidP="001C51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140"/>
      </w:tblGrid>
      <w:tr w:rsidR="001C51E9" w:rsidRPr="00565FD3" w:rsidTr="004E194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51E9" w:rsidRPr="00565FD3" w:rsidTr="004E194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1C51E9" w:rsidRPr="00565FD3" w:rsidTr="004E194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51E9" w:rsidRPr="00565FD3" w:rsidTr="004E194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1C51E9" w:rsidRPr="00565FD3" w:rsidTr="004E194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C51E9" w:rsidRPr="00565FD3" w:rsidTr="004E194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одномандатного (многомандатного) избирательного округа)</w:t>
            </w:r>
          </w:p>
        </w:tc>
      </w:tr>
      <w:tr w:rsidR="001C51E9" w:rsidRPr="00565FD3" w:rsidTr="004E194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51E9" w:rsidRPr="00565FD3" w:rsidTr="004E194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1E9" w:rsidRPr="00565FD3" w:rsidRDefault="001C51E9" w:rsidP="004E1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(номер специального избирательного счета,  наименование и адрес ПАО Сбербанк) </w:t>
            </w:r>
          </w:p>
        </w:tc>
      </w:tr>
    </w:tbl>
    <w:p w:rsidR="001C51E9" w:rsidRPr="00565FD3" w:rsidRDefault="001C51E9" w:rsidP="001C51E9"/>
    <w:p w:rsidR="001C51E9" w:rsidRPr="00565FD3" w:rsidRDefault="001C51E9" w:rsidP="001C51E9">
      <w:pPr>
        <w:rPr>
          <w:b/>
          <w:sz w:val="20"/>
          <w:szCs w:val="20"/>
        </w:rPr>
      </w:pPr>
      <w:r w:rsidRPr="00565FD3">
        <w:rPr>
          <w:b/>
          <w:sz w:val="20"/>
          <w:szCs w:val="20"/>
          <w:lang w:val="en-US"/>
        </w:rPr>
        <w:t>I</w:t>
      </w:r>
      <w:r w:rsidRPr="00565FD3">
        <w:rPr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268"/>
        <w:gridCol w:w="2912"/>
      </w:tblGrid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</w:p>
          <w:p w:rsidR="001C51E9" w:rsidRPr="00565FD3" w:rsidRDefault="001C51E9" w:rsidP="004E19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5FD3">
              <w:rPr>
                <w:sz w:val="20"/>
                <w:szCs w:val="20"/>
              </w:rPr>
              <w:t>Источник поступления средств</w:t>
            </w:r>
            <w:r w:rsidRPr="00565FD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Средства, поступившие с нару</w:t>
            </w:r>
            <w:bookmarkStart w:id="0" w:name="_GoBack"/>
            <w:bookmarkEnd w:id="0"/>
            <w:r w:rsidRPr="00565FD3">
              <w:rPr>
                <w:sz w:val="20"/>
                <w:szCs w:val="20"/>
              </w:rPr>
              <w:t>шением установленного порядка и подлежащие возврату</w:t>
            </w: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6</w:t>
            </w: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right"/>
              <w:rPr>
                <w:b/>
                <w:sz w:val="20"/>
                <w:szCs w:val="20"/>
              </w:rPr>
            </w:pPr>
            <w:r w:rsidRPr="00565F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</w:tbl>
    <w:p w:rsidR="001C51E9" w:rsidRPr="00565FD3" w:rsidRDefault="001C51E9" w:rsidP="001C51E9">
      <w:pPr>
        <w:rPr>
          <w:sz w:val="20"/>
          <w:szCs w:val="20"/>
        </w:rPr>
      </w:pPr>
    </w:p>
    <w:p w:rsidR="001C51E9" w:rsidRPr="00565FD3" w:rsidRDefault="001C51E9" w:rsidP="001C51E9">
      <w:pPr>
        <w:rPr>
          <w:b/>
          <w:sz w:val="20"/>
          <w:szCs w:val="20"/>
        </w:rPr>
      </w:pPr>
      <w:r w:rsidRPr="00565FD3">
        <w:rPr>
          <w:b/>
          <w:sz w:val="20"/>
          <w:szCs w:val="20"/>
          <w:lang w:val="en-US"/>
        </w:rPr>
        <w:t>II</w:t>
      </w:r>
      <w:r w:rsidRPr="00565FD3">
        <w:rPr>
          <w:b/>
          <w:sz w:val="20"/>
          <w:szCs w:val="20"/>
        </w:rPr>
        <w:t xml:space="preserve">. Возвращено денежных средств в избирательный фонд </w:t>
      </w:r>
      <w:proofErr w:type="gramStart"/>
      <w:r w:rsidRPr="00565FD3">
        <w:rPr>
          <w:b/>
          <w:sz w:val="20"/>
          <w:szCs w:val="20"/>
        </w:rPr>
        <w:t>( в</w:t>
      </w:r>
      <w:proofErr w:type="gramEnd"/>
      <w:r w:rsidRPr="00565FD3">
        <w:rPr>
          <w:b/>
          <w:sz w:val="20"/>
          <w:szCs w:val="20"/>
        </w:rPr>
        <w:t xml:space="preserve"> </w:t>
      </w:r>
      <w:proofErr w:type="spellStart"/>
      <w:r w:rsidRPr="00565FD3">
        <w:rPr>
          <w:b/>
          <w:sz w:val="20"/>
          <w:szCs w:val="20"/>
        </w:rPr>
        <w:t>т.ч</w:t>
      </w:r>
      <w:proofErr w:type="spellEnd"/>
      <w:r w:rsidRPr="00565FD3">
        <w:rPr>
          <w:b/>
          <w:sz w:val="20"/>
          <w:szCs w:val="20"/>
        </w:rPr>
        <w:t xml:space="preserve">. ошибочно перечисленных, неиспользованных)**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715"/>
        <w:gridCol w:w="2465"/>
      </w:tblGrid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</w:p>
          <w:p w:rsidR="001C51E9" w:rsidRPr="00565FD3" w:rsidRDefault="001C51E9" w:rsidP="004E19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5FD3">
              <w:rPr>
                <w:sz w:val="20"/>
                <w:szCs w:val="20"/>
              </w:rPr>
              <w:t>Кому перечислены средства</w:t>
            </w:r>
            <w:r w:rsidRPr="00565FD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6</w:t>
            </w: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  <w:tr w:rsidR="001C51E9" w:rsidRPr="00565FD3" w:rsidTr="004E19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right"/>
              <w:rPr>
                <w:b/>
                <w:sz w:val="20"/>
                <w:szCs w:val="20"/>
              </w:rPr>
            </w:pPr>
            <w:r w:rsidRPr="00565F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</w:tbl>
    <w:p w:rsidR="001C51E9" w:rsidRPr="00565FD3" w:rsidRDefault="001C51E9" w:rsidP="001C51E9">
      <w:r w:rsidRPr="00565FD3">
        <w:t>_______________________________________</w:t>
      </w:r>
    </w:p>
    <w:p w:rsidR="001C51E9" w:rsidRPr="00565FD3" w:rsidRDefault="001C51E9" w:rsidP="001C51E9">
      <w:pPr>
        <w:rPr>
          <w:sz w:val="16"/>
          <w:szCs w:val="16"/>
        </w:rPr>
      </w:pPr>
      <w:r w:rsidRPr="00565FD3">
        <w:rPr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1C51E9" w:rsidRPr="00565FD3" w:rsidRDefault="001C51E9" w:rsidP="001C51E9">
      <w:pPr>
        <w:rPr>
          <w:sz w:val="16"/>
          <w:szCs w:val="16"/>
        </w:rPr>
      </w:pPr>
    </w:p>
    <w:p w:rsidR="001C51E9" w:rsidRPr="00565FD3" w:rsidRDefault="001C51E9" w:rsidP="001C51E9">
      <w:pPr>
        <w:rPr>
          <w:sz w:val="16"/>
          <w:szCs w:val="16"/>
        </w:rPr>
      </w:pPr>
      <w:r w:rsidRPr="00565FD3">
        <w:rPr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1C51E9" w:rsidRPr="0049664D" w:rsidRDefault="001C51E9" w:rsidP="001C51E9">
      <w:pPr>
        <w:rPr>
          <w:b/>
          <w:sz w:val="20"/>
          <w:szCs w:val="20"/>
        </w:rPr>
      </w:pPr>
    </w:p>
    <w:p w:rsidR="001C51E9" w:rsidRDefault="0016162A" w:rsidP="001C51E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margin-left:691.65pt;margin-top:-54.8pt;width:54.4pt;height:28.9pt;z-index:251662336" strokecolor="white [3212]">
            <v:textbox>
              <w:txbxContent>
                <w:p w:rsidR="00144C79" w:rsidRPr="007D71C9" w:rsidRDefault="00144C79" w:rsidP="001C51E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51E9" w:rsidRPr="00565FD3" w:rsidRDefault="001C51E9" w:rsidP="001C51E9">
      <w:pPr>
        <w:rPr>
          <w:sz w:val="20"/>
          <w:szCs w:val="20"/>
        </w:rPr>
      </w:pPr>
      <w:r w:rsidRPr="00565FD3">
        <w:rPr>
          <w:b/>
          <w:sz w:val="20"/>
          <w:szCs w:val="20"/>
          <w:lang w:val="en-US"/>
        </w:rPr>
        <w:lastRenderedPageBreak/>
        <w:t>III</w:t>
      </w:r>
      <w:r w:rsidRPr="00565FD3">
        <w:rPr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1C51E9" w:rsidRPr="00565FD3" w:rsidTr="004E194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1C51E9" w:rsidRPr="00565FD3" w:rsidTr="004E194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7</w:t>
            </w:r>
          </w:p>
        </w:tc>
      </w:tr>
      <w:tr w:rsidR="001C51E9" w:rsidRPr="00565FD3" w:rsidTr="004E194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  <w:tr w:rsidR="001C51E9" w:rsidRPr="00565FD3" w:rsidTr="004E194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right"/>
              <w:rPr>
                <w:b/>
                <w:sz w:val="20"/>
                <w:szCs w:val="20"/>
              </w:rPr>
            </w:pPr>
            <w:r w:rsidRPr="00565F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sz w:val="20"/>
                <w:szCs w:val="20"/>
              </w:rPr>
            </w:pPr>
          </w:p>
        </w:tc>
      </w:tr>
    </w:tbl>
    <w:p w:rsidR="001C51E9" w:rsidRPr="00565FD3" w:rsidRDefault="001C51E9" w:rsidP="001C51E9"/>
    <w:p w:rsidR="001C51E9" w:rsidRPr="00565FD3" w:rsidRDefault="001C51E9" w:rsidP="001C51E9">
      <w:pPr>
        <w:rPr>
          <w:b/>
          <w:sz w:val="20"/>
          <w:szCs w:val="20"/>
        </w:rPr>
      </w:pPr>
      <w:r w:rsidRPr="00565FD3">
        <w:rPr>
          <w:b/>
          <w:sz w:val="20"/>
          <w:szCs w:val="20"/>
          <w:lang w:val="en-US"/>
        </w:rPr>
        <w:t>I</w:t>
      </w:r>
      <w:r w:rsidRPr="00565FD3">
        <w:rPr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1C51E9" w:rsidRPr="00565FD3" w:rsidTr="004E194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1C51E9" w:rsidRPr="00565FD3" w:rsidTr="004E194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center"/>
              <w:rPr>
                <w:sz w:val="20"/>
                <w:szCs w:val="20"/>
              </w:rPr>
            </w:pPr>
            <w:r w:rsidRPr="00565FD3">
              <w:rPr>
                <w:sz w:val="20"/>
                <w:szCs w:val="20"/>
              </w:rPr>
              <w:t>9</w:t>
            </w:r>
          </w:p>
        </w:tc>
      </w:tr>
      <w:tr w:rsidR="001C51E9" w:rsidRPr="00565FD3" w:rsidTr="004E194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</w:tr>
      <w:tr w:rsidR="001C51E9" w:rsidRPr="00565FD3" w:rsidTr="004E1942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E9" w:rsidRPr="00565FD3" w:rsidRDefault="001C51E9" w:rsidP="004E1942">
            <w:pPr>
              <w:jc w:val="right"/>
              <w:rPr>
                <w:b/>
                <w:sz w:val="20"/>
                <w:szCs w:val="20"/>
              </w:rPr>
            </w:pPr>
            <w:r w:rsidRPr="00565F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E9" w:rsidRPr="00565FD3" w:rsidRDefault="001C51E9" w:rsidP="004E1942">
            <w:pPr>
              <w:rPr>
                <w:b/>
                <w:sz w:val="20"/>
                <w:szCs w:val="20"/>
              </w:rPr>
            </w:pPr>
          </w:p>
        </w:tc>
      </w:tr>
    </w:tbl>
    <w:p w:rsidR="001C51E9" w:rsidRPr="00565FD3" w:rsidRDefault="001C51E9" w:rsidP="001C51E9">
      <w:pPr>
        <w:rPr>
          <w:b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8"/>
          <w:szCs w:val="28"/>
        </w:rPr>
      </w:pPr>
      <w:r w:rsidRPr="00565FD3">
        <w:rPr>
          <w:sz w:val="28"/>
          <w:szCs w:val="28"/>
        </w:rPr>
        <w:t>Кандидат ____________________</w:t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</w:r>
      <w:r w:rsidRPr="00565FD3">
        <w:rPr>
          <w:sz w:val="28"/>
          <w:szCs w:val="28"/>
        </w:rPr>
        <w:tab/>
        <w:t>_________________________</w:t>
      </w:r>
    </w:p>
    <w:p w:rsidR="001C51E9" w:rsidRPr="00565FD3" w:rsidRDefault="001C51E9" w:rsidP="001C51E9">
      <w:pPr>
        <w:jc w:val="both"/>
        <w:rPr>
          <w:sz w:val="20"/>
          <w:szCs w:val="20"/>
        </w:rPr>
      </w:pPr>
      <w:r w:rsidRPr="00565FD3">
        <w:rPr>
          <w:sz w:val="20"/>
          <w:szCs w:val="20"/>
        </w:rPr>
        <w:t xml:space="preserve">                                    Ф.И.О. кандидата</w:t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</w:r>
      <w:r w:rsidRPr="00565FD3">
        <w:rPr>
          <w:sz w:val="20"/>
          <w:szCs w:val="20"/>
        </w:rPr>
        <w:tab/>
        <w:t xml:space="preserve">    (подпись, дата, инициалы, фамилия)</w:t>
      </w: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  <w:r w:rsidRPr="00565FD3">
        <w:rPr>
          <w:sz w:val="20"/>
          <w:szCs w:val="20"/>
        </w:rPr>
        <w:t>________________________________________________________________________________________</w:t>
      </w:r>
    </w:p>
    <w:p w:rsidR="001C51E9" w:rsidRPr="00565FD3" w:rsidRDefault="001C51E9" w:rsidP="001C51E9">
      <w:pPr>
        <w:jc w:val="both"/>
        <w:rPr>
          <w:sz w:val="20"/>
          <w:szCs w:val="20"/>
        </w:rPr>
      </w:pPr>
      <w:r w:rsidRPr="00565FD3">
        <w:rPr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  <w:r w:rsidRPr="00565FD3">
        <w:rPr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Pr="00565FD3" w:rsidRDefault="001C51E9" w:rsidP="001C51E9">
      <w:pPr>
        <w:jc w:val="both"/>
        <w:rPr>
          <w:sz w:val="20"/>
          <w:szCs w:val="20"/>
        </w:rPr>
      </w:pPr>
    </w:p>
    <w:p w:rsidR="001C51E9" w:rsidRDefault="001C51E9" w:rsidP="001C51E9">
      <w:pPr>
        <w:sectPr w:rsidR="001C51E9" w:rsidSect="00FF1C89">
          <w:pgSz w:w="16840" w:h="11907" w:orient="landscape"/>
          <w:pgMar w:top="567" w:right="1134" w:bottom="284" w:left="1134" w:header="720" w:footer="720" w:gutter="0"/>
          <w:pgNumType w:start="22"/>
          <w:cols w:space="720"/>
          <w:docGrid w:linePitch="326"/>
        </w:sectPr>
      </w:pPr>
    </w:p>
    <w:p w:rsidR="001C51E9" w:rsidRPr="00565FD3" w:rsidRDefault="0016162A" w:rsidP="001C51E9">
      <w:pPr>
        <w:spacing w:after="120"/>
        <w:ind w:left="3969"/>
        <w:jc w:val="center"/>
      </w:pPr>
      <w:r>
        <w:rPr>
          <w:noProof/>
          <w:szCs w:val="22"/>
        </w:rPr>
        <w:lastRenderedPageBreak/>
        <w:pict>
          <v:shape id="_x0000_s1029" type="#_x0000_t202" style="position:absolute;left:0;text-align:left;margin-left:411.6pt;margin-top:-59.3pt;width:78.2pt;height:36.85pt;z-index:251663360" strokecolor="white [3212]">
            <v:textbox>
              <w:txbxContent>
                <w:p w:rsidR="00144C79" w:rsidRPr="007D71C9" w:rsidRDefault="00144C79" w:rsidP="001C51E9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C51E9">
        <w:t>Приложение № 4</w:t>
      </w:r>
    </w:p>
    <w:p w:rsidR="001C51E9" w:rsidRPr="00B43F2F" w:rsidRDefault="001C51E9" w:rsidP="001C51E9">
      <w:pPr>
        <w:pStyle w:val="14-15"/>
        <w:widowControl/>
        <w:spacing w:line="240" w:lineRule="auto"/>
        <w:ind w:left="4956" w:firstLine="0"/>
        <w:jc w:val="left"/>
        <w:rPr>
          <w:b/>
          <w:bCs/>
          <w:sz w:val="22"/>
          <w:szCs w:val="22"/>
        </w:rPr>
      </w:pPr>
      <w:r>
        <w:rPr>
          <w:sz w:val="22"/>
        </w:rPr>
        <w:t xml:space="preserve">К </w:t>
      </w:r>
      <w:r w:rsidRPr="00B43F2F">
        <w:rPr>
          <w:sz w:val="22"/>
          <w:szCs w:val="22"/>
        </w:rPr>
        <w:t xml:space="preserve">Порядку формирования и расходования денежных средств избирательных фондов кандидатов при проведении </w:t>
      </w:r>
      <w:proofErr w:type="gramStart"/>
      <w:r w:rsidRPr="00B43F2F">
        <w:rPr>
          <w:sz w:val="22"/>
          <w:szCs w:val="22"/>
        </w:rPr>
        <w:t xml:space="preserve">выборов </w:t>
      </w:r>
      <w:r w:rsidR="00FF1C89">
        <w:rPr>
          <w:bCs/>
          <w:sz w:val="22"/>
          <w:szCs w:val="22"/>
        </w:rPr>
        <w:t>депутатов С</w:t>
      </w:r>
      <w:r w:rsidRPr="00B43F2F">
        <w:rPr>
          <w:bCs/>
          <w:sz w:val="22"/>
          <w:szCs w:val="22"/>
        </w:rPr>
        <w:t>оветов депутатов муниципальных образований</w:t>
      </w:r>
      <w:proofErr w:type="gramEnd"/>
      <w:r w:rsidRPr="00B43F2F">
        <w:rPr>
          <w:bCs/>
          <w:sz w:val="22"/>
          <w:szCs w:val="22"/>
        </w:rPr>
        <w:t xml:space="preserve"> </w:t>
      </w:r>
      <w:proofErr w:type="spellStart"/>
      <w:r w:rsidR="00FF1C89">
        <w:rPr>
          <w:bCs/>
          <w:sz w:val="22"/>
          <w:szCs w:val="22"/>
        </w:rPr>
        <w:t>Приозерского</w:t>
      </w:r>
      <w:proofErr w:type="spellEnd"/>
      <w:r w:rsidR="00FF1C89">
        <w:rPr>
          <w:bCs/>
          <w:sz w:val="22"/>
          <w:szCs w:val="22"/>
        </w:rPr>
        <w:t xml:space="preserve"> муниципального района </w:t>
      </w:r>
      <w:r w:rsidRPr="00B43F2F">
        <w:rPr>
          <w:bCs/>
          <w:sz w:val="22"/>
          <w:szCs w:val="22"/>
        </w:rPr>
        <w:t>Ленинградской области</w:t>
      </w:r>
    </w:p>
    <w:p w:rsidR="001C51E9" w:rsidRDefault="001C51E9" w:rsidP="001C51E9">
      <w:pPr>
        <w:pStyle w:val="14-15"/>
        <w:widowControl/>
        <w:spacing w:line="240" w:lineRule="auto"/>
        <w:rPr>
          <w:sz w:val="24"/>
          <w:szCs w:val="24"/>
        </w:rPr>
      </w:pPr>
    </w:p>
    <w:p w:rsidR="001C51E9" w:rsidRDefault="001C51E9" w:rsidP="001C51E9">
      <w:pPr>
        <w:spacing w:after="120"/>
        <w:ind w:left="2124" w:firstLine="708"/>
      </w:pPr>
      <w:r>
        <w:tab/>
      </w:r>
      <w:r>
        <w:tab/>
      </w:r>
      <w:r>
        <w:tab/>
      </w:r>
    </w:p>
    <w:p w:rsidR="001C51E9" w:rsidRPr="00565FD3" w:rsidRDefault="001C51E9" w:rsidP="001C51E9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1C51E9" w:rsidRPr="00565FD3" w:rsidRDefault="001C51E9" w:rsidP="001C51E9">
      <w:pPr>
        <w:jc w:val="center"/>
        <w:rPr>
          <w:b/>
          <w:bCs/>
        </w:rPr>
      </w:pPr>
      <w:r w:rsidRPr="00565FD3">
        <w:rPr>
          <w:b/>
          <w:bCs/>
        </w:rPr>
        <w:t xml:space="preserve">первичных финансовых документов, прилагаемых </w:t>
      </w:r>
    </w:p>
    <w:p w:rsidR="001C51E9" w:rsidRPr="00565FD3" w:rsidRDefault="001C51E9" w:rsidP="001C51E9">
      <w:pPr>
        <w:jc w:val="center"/>
      </w:pPr>
      <w:r w:rsidRPr="00565FD3">
        <w:rPr>
          <w:b/>
          <w:bCs/>
        </w:rPr>
        <w:t>к итоговому финансовому отчету кандидата</w:t>
      </w:r>
    </w:p>
    <w:p w:rsidR="001C51E9" w:rsidRPr="00565FD3" w:rsidRDefault="001C51E9" w:rsidP="001C51E9"/>
    <w:p w:rsidR="001C51E9" w:rsidRPr="00565FD3" w:rsidRDefault="001C51E9" w:rsidP="001C51E9">
      <w:pPr>
        <w:pStyle w:val="ienuii"/>
        <w:widowControl/>
        <w:spacing w:after="0"/>
        <w:ind w:left="0"/>
        <w:rPr>
          <w:sz w:val="24"/>
          <w:szCs w:val="24"/>
        </w:rPr>
      </w:pPr>
    </w:p>
    <w:p w:rsidR="001C51E9" w:rsidRPr="00565FD3" w:rsidRDefault="001C51E9" w:rsidP="001C51E9">
      <w:pPr>
        <w:jc w:val="both"/>
      </w:pPr>
      <w:r w:rsidRPr="00565FD3">
        <w:tab/>
        <w:t>Выписки кредитной организации по специальному избирательному счету избирательного фонда;</w:t>
      </w:r>
    </w:p>
    <w:p w:rsidR="001C51E9" w:rsidRPr="00565FD3" w:rsidRDefault="001C51E9" w:rsidP="001C51E9">
      <w:pPr>
        <w:jc w:val="both"/>
      </w:pPr>
      <w:r w:rsidRPr="00565FD3">
        <w:tab/>
        <w:t>распоряжения о переводе добровольных пожертвований граждан, юридических лиц;</w:t>
      </w:r>
    </w:p>
    <w:p w:rsidR="001C51E9" w:rsidRPr="00565FD3" w:rsidRDefault="001C51E9" w:rsidP="001C51E9">
      <w:pPr>
        <w:jc w:val="both"/>
      </w:pPr>
      <w:r w:rsidRPr="00565FD3">
        <w:tab/>
        <w:t>распоряжения о переводе собственных средств кандидата;</w:t>
      </w:r>
    </w:p>
    <w:p w:rsidR="001C51E9" w:rsidRPr="00565FD3" w:rsidRDefault="001C51E9" w:rsidP="001C51E9">
      <w:pPr>
        <w:jc w:val="both"/>
      </w:pPr>
      <w:r w:rsidRPr="00565FD3">
        <w:tab/>
        <w:t>распоряжения о переводе денежных сре</w:t>
      </w:r>
      <w:proofErr w:type="gramStart"/>
      <w:r w:rsidRPr="00565FD3">
        <w:t>дств в к</w:t>
      </w:r>
      <w:proofErr w:type="gramEnd"/>
      <w:r w:rsidRPr="00565FD3">
        <w:t>ачестве возвратов неиспользованных средств избирательного фонда;</w:t>
      </w:r>
    </w:p>
    <w:p w:rsidR="001C51E9" w:rsidRPr="00565FD3" w:rsidRDefault="001C51E9" w:rsidP="001C51E9">
      <w:pPr>
        <w:jc w:val="both"/>
      </w:pPr>
      <w:r w:rsidRPr="00565FD3">
        <w:tab/>
        <w:t>договоры на выполнение работ (оказание услуг);</w:t>
      </w:r>
    </w:p>
    <w:p w:rsidR="001C51E9" w:rsidRPr="00565FD3" w:rsidRDefault="001C51E9" w:rsidP="001C51E9">
      <w:pPr>
        <w:jc w:val="both"/>
      </w:pPr>
      <w:r w:rsidRPr="00565FD3">
        <w:tab/>
        <w:t>счета (счета-фактуры);</w:t>
      </w:r>
    </w:p>
    <w:p w:rsidR="001C51E9" w:rsidRPr="00565FD3" w:rsidRDefault="001C51E9" w:rsidP="001C51E9">
      <w:pPr>
        <w:ind w:firstLine="708"/>
        <w:jc w:val="both"/>
      </w:pPr>
      <w:r w:rsidRPr="00565FD3">
        <w:t>накладные на получение товаров;</w:t>
      </w:r>
    </w:p>
    <w:p w:rsidR="001C51E9" w:rsidRPr="00565FD3" w:rsidRDefault="001C51E9" w:rsidP="001C51E9">
      <w:pPr>
        <w:ind w:firstLine="708"/>
        <w:jc w:val="both"/>
      </w:pPr>
      <w:r w:rsidRPr="00565FD3">
        <w:t>акты о выполнении работ;</w:t>
      </w:r>
    </w:p>
    <w:p w:rsidR="001C51E9" w:rsidRPr="00565FD3" w:rsidRDefault="001C51E9" w:rsidP="001C51E9">
      <w:pPr>
        <w:ind w:firstLine="708"/>
        <w:jc w:val="both"/>
      </w:pPr>
      <w:r w:rsidRPr="00565FD3">
        <w:t>расходные и приходные кассовые ордера;</w:t>
      </w:r>
    </w:p>
    <w:p w:rsidR="001C51E9" w:rsidRPr="00565FD3" w:rsidRDefault="001C51E9" w:rsidP="001C51E9">
      <w:pPr>
        <w:ind w:firstLine="708"/>
        <w:jc w:val="both"/>
      </w:pPr>
      <w:r w:rsidRPr="00565FD3"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1C51E9" w:rsidRDefault="001C51E9" w:rsidP="001C51E9">
      <w:pPr>
        <w:ind w:firstLine="708"/>
        <w:jc w:val="both"/>
        <w:rPr>
          <w:rFonts w:ascii="Times New Roman CYR" w:hAnsi="Times New Roman CYR"/>
        </w:rPr>
      </w:pPr>
      <w:r w:rsidRPr="00565FD3">
        <w:t>чеки контрольно-кассовых машин.</w:t>
      </w:r>
    </w:p>
    <w:p w:rsidR="001C51E9" w:rsidRDefault="001C51E9" w:rsidP="001C51E9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3412C4" w:rsidRDefault="003412C4"/>
    <w:p w:rsidR="003412C4" w:rsidRDefault="003412C4"/>
    <w:p w:rsidR="003412C4" w:rsidRDefault="003412C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4E1942" w:rsidRDefault="004E1942"/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поступлении денежных средств на специальный избирательный счет</w:t>
      </w:r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 кандидата</w:t>
      </w:r>
      <w:r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</w:t>
      </w:r>
      <w:r>
        <w:rPr>
          <w:rFonts w:ascii="Times New Roman" w:hAnsi="Times New Roman" w:cs="Times New Roman"/>
          <w:sz w:val="24"/>
        </w:rPr>
        <w:t>_</w:t>
      </w:r>
      <w:r w:rsidRPr="00E6578A">
        <w:rPr>
          <w:rFonts w:ascii="Times New Roman" w:hAnsi="Times New Roman" w:cs="Times New Roman"/>
          <w:sz w:val="24"/>
        </w:rPr>
        <w:t>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Кандидат</w:t>
      </w:r>
      <w:r w:rsidRPr="00F8482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>
        <w:rPr>
          <w:rFonts w:ascii="Times New Roman" w:hAnsi="Times New Roman" w:cs="Times New Roman"/>
          <w:sz w:val="16"/>
        </w:rPr>
        <w:t>)</w:t>
      </w:r>
      <w:r w:rsidRPr="00F8482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Pr="00F8482F">
        <w:rPr>
          <w:rFonts w:ascii="Times New Roman" w:hAnsi="Times New Roman" w:cs="Times New Roman"/>
          <w:sz w:val="16"/>
        </w:rPr>
        <w:t xml:space="preserve"> </w:t>
      </w:r>
    </w:p>
    <w:p w:rsidR="003412C4" w:rsidRPr="00E6578A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3412C4" w:rsidRPr="008B673C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  <w:proofErr w:type="gramEnd"/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3412C4" w:rsidRPr="00E6578A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 w:rsidRPr="00F8482F">
        <w:rPr>
          <w:rFonts w:ascii="Times New Roman" w:hAnsi="Times New Roman" w:cs="Times New Roman"/>
          <w:sz w:val="24"/>
        </w:rPr>
        <w:t>Входящий остаток:</w:t>
      </w:r>
      <w:r w:rsidRPr="00E6578A">
        <w:rPr>
          <w:rFonts w:ascii="Times New Roman" w:hAnsi="Times New Roman" w:cs="Times New Roman"/>
          <w:sz w:val="20"/>
        </w:rPr>
        <w:t xml:space="preserve"> ______________________________________________________________________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3412C4" w:rsidRPr="00F8482F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Поступило средств за пери</w:t>
      </w:r>
      <w:r>
        <w:rPr>
          <w:rFonts w:ascii="Times New Roman" w:hAnsi="Times New Roman" w:cs="Times New Roman"/>
          <w:sz w:val="24"/>
        </w:rPr>
        <w:t xml:space="preserve">од: _________________________________________________ </w:t>
      </w:r>
    </w:p>
    <w:p w:rsidR="003412C4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3412C4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3412C4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в том числе:</w:t>
      </w:r>
    </w:p>
    <w:p w:rsidR="003412C4" w:rsidRDefault="003412C4" w:rsidP="003412C4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1595"/>
        <w:gridCol w:w="1595"/>
        <w:gridCol w:w="1965"/>
        <w:gridCol w:w="1595"/>
        <w:gridCol w:w="1595"/>
        <w:gridCol w:w="1742"/>
      </w:tblGrid>
      <w:tr w:rsidR="003412C4" w:rsidTr="00144C79"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зачисления средств на счет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поступления средств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поступлений</w:t>
            </w:r>
          </w:p>
        </w:tc>
        <w:tc>
          <w:tcPr>
            <w:tcW w:w="1596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поступление средств</w:t>
            </w:r>
          </w:p>
        </w:tc>
      </w:tr>
      <w:tr w:rsidR="003412C4" w:rsidTr="00144C79"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6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412C4" w:rsidTr="00144C79"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3412C4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3412C4" w:rsidRPr="00F8482F" w:rsidRDefault="003412C4" w:rsidP="003412C4">
      <w:pPr>
        <w:pStyle w:val="22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>
      <w:r>
        <w:t>____________________________________________</w:t>
      </w:r>
    </w:p>
    <w:p w:rsidR="003412C4" w:rsidRPr="0061555C" w:rsidRDefault="003412C4" w:rsidP="003412C4">
      <w:pPr>
        <w:jc w:val="both"/>
        <w:rPr>
          <w:i/>
        </w:rPr>
      </w:pPr>
      <w:r w:rsidRPr="0061555C">
        <w:rPr>
          <w:i/>
        </w:rPr>
        <w:t>* Сведения о поступлении и расходовании денежных сре</w:t>
      </w:r>
      <w:proofErr w:type="gramStart"/>
      <w:r w:rsidRPr="0061555C">
        <w:rPr>
          <w:i/>
        </w:rPr>
        <w:t>дств пр</w:t>
      </w:r>
      <w:proofErr w:type="gramEnd"/>
      <w:r w:rsidRPr="0061555C">
        <w:rPr>
          <w:i/>
        </w:rPr>
        <w:t>едставляются за один и тот же период времени на бумажном носителе или в машиночитаемом виде.</w:t>
      </w:r>
    </w:p>
    <w:p w:rsidR="003412C4" w:rsidRPr="00F8482F" w:rsidRDefault="003412C4" w:rsidP="003412C4">
      <w:pPr>
        <w:ind w:left="5954"/>
        <w:jc w:val="center"/>
        <w:rPr>
          <w:sz w:val="20"/>
        </w:rPr>
      </w:pPr>
    </w:p>
    <w:p w:rsidR="003412C4" w:rsidRPr="00F8482F" w:rsidRDefault="003412C4" w:rsidP="003412C4">
      <w:pPr>
        <w:ind w:left="5954"/>
        <w:jc w:val="center"/>
        <w:rPr>
          <w:sz w:val="20"/>
        </w:rPr>
      </w:pPr>
    </w:p>
    <w:p w:rsidR="003412C4" w:rsidRPr="00E20D91" w:rsidRDefault="003412C4" w:rsidP="003412C4">
      <w:pPr>
        <w:ind w:left="5954"/>
        <w:jc w:val="center"/>
        <w:rPr>
          <w:b/>
          <w:sz w:val="20"/>
        </w:rPr>
      </w:pPr>
      <w:r>
        <w:rPr>
          <w:b/>
          <w:sz w:val="20"/>
        </w:rPr>
        <w:t>Приложение 3</w:t>
      </w:r>
    </w:p>
    <w:p w:rsidR="003412C4" w:rsidRPr="00E20D91" w:rsidRDefault="003412C4" w:rsidP="003412C4">
      <w:pPr>
        <w:pStyle w:val="3"/>
        <w:spacing w:after="0" w:line="240" w:lineRule="auto"/>
        <w:ind w:left="3960"/>
        <w:rPr>
          <w:rFonts w:ascii="Times New Roman" w:hAnsi="Times New Roman" w:cs="Times New Roman"/>
          <w:b/>
          <w:sz w:val="20"/>
          <w:szCs w:val="20"/>
        </w:rPr>
      </w:pPr>
      <w:r w:rsidRPr="00E20D91">
        <w:rPr>
          <w:rFonts w:ascii="Times New Roman" w:hAnsi="Times New Roman" w:cs="Times New Roman"/>
          <w:b/>
        </w:rPr>
        <w:t xml:space="preserve"> </w:t>
      </w:r>
    </w:p>
    <w:p w:rsidR="003412C4" w:rsidRPr="00F8482F" w:rsidRDefault="003412C4" w:rsidP="003412C4">
      <w:pPr>
        <w:pStyle w:val="22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3412C4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расходовании денежных средств, находящихся на специальном избирательном счете  кандидата</w:t>
      </w:r>
      <w:r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201</w:t>
      </w:r>
      <w:r>
        <w:rPr>
          <w:rFonts w:ascii="Times New Roman" w:hAnsi="Times New Roman" w:cs="Times New Roman"/>
          <w:sz w:val="24"/>
        </w:rPr>
        <w:t>__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lastRenderedPageBreak/>
        <w:t>Кан</w:t>
      </w:r>
      <w:r>
        <w:rPr>
          <w:rFonts w:ascii="Times New Roman" w:hAnsi="Times New Roman" w:cs="Times New Roman"/>
          <w:sz w:val="24"/>
        </w:rPr>
        <w:t>дидат __________________________________________________________________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>
        <w:rPr>
          <w:rFonts w:ascii="Times New Roman" w:hAnsi="Times New Roman" w:cs="Times New Roman"/>
          <w:sz w:val="16"/>
        </w:rPr>
        <w:t>)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3412C4" w:rsidRPr="00135EDB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  <w:proofErr w:type="gramEnd"/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3412C4" w:rsidRDefault="003412C4" w:rsidP="003412C4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Израсходовано средств за период</w:t>
      </w:r>
      <w:r>
        <w:rPr>
          <w:rFonts w:ascii="Times New Roman" w:hAnsi="Times New Roman" w:cs="Times New Roman"/>
          <w:sz w:val="24"/>
        </w:rPr>
        <w:t>: _____________________________________________</w:t>
      </w:r>
      <w:r w:rsidRPr="00F8482F">
        <w:rPr>
          <w:rFonts w:ascii="Times New Roman" w:hAnsi="Times New Roman" w:cs="Times New Roman"/>
          <w:sz w:val="24"/>
        </w:rPr>
        <w:t xml:space="preserve"> 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3412C4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3412C4" w:rsidRPr="0061555C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742"/>
        <w:gridCol w:w="1596"/>
      </w:tblGrid>
      <w:tr w:rsidR="003412C4" w:rsidRPr="0061555C" w:rsidTr="00144C79"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96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снятия денежных средств**</w:t>
            </w:r>
          </w:p>
        </w:tc>
      </w:tr>
      <w:tr w:rsidR="003412C4" w:rsidRPr="0061555C" w:rsidTr="00144C79"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3412C4" w:rsidRPr="0061555C" w:rsidRDefault="003412C4" w:rsidP="00144C79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12C4" w:rsidTr="00144C79"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3412C4" w:rsidRDefault="003412C4" w:rsidP="00144C7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Исходящий остаток: _________________________________________________________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3412C4" w:rsidRPr="00F8482F" w:rsidRDefault="003412C4" w:rsidP="003412C4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412C4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3412C4" w:rsidRPr="00F8482F" w:rsidRDefault="003412C4" w:rsidP="003412C4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3412C4" w:rsidRPr="00F8482F" w:rsidRDefault="003412C4" w:rsidP="003412C4">
      <w:pPr>
        <w:pStyle w:val="22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/>
    <w:p w:rsidR="003412C4" w:rsidRDefault="003412C4" w:rsidP="003412C4">
      <w:r>
        <w:t>____________________________________________</w:t>
      </w:r>
    </w:p>
    <w:p w:rsidR="003412C4" w:rsidRPr="0061555C" w:rsidRDefault="003412C4" w:rsidP="003412C4">
      <w:pPr>
        <w:jc w:val="both"/>
        <w:rPr>
          <w:i/>
        </w:rPr>
      </w:pPr>
      <w:r w:rsidRPr="0061555C">
        <w:rPr>
          <w:i/>
        </w:rPr>
        <w:t>* Сведения о поступлении и расходовании денежных сре</w:t>
      </w:r>
      <w:proofErr w:type="gramStart"/>
      <w:r w:rsidRPr="0061555C">
        <w:rPr>
          <w:i/>
        </w:rPr>
        <w:t>дств пр</w:t>
      </w:r>
      <w:proofErr w:type="gramEnd"/>
      <w:r w:rsidRPr="0061555C">
        <w:rPr>
          <w:i/>
        </w:rPr>
        <w:t>едставляются за один и тот же период времени на бумажном носителе или в машиночитаемом виде.</w:t>
      </w:r>
    </w:p>
    <w:p w:rsidR="003412C4" w:rsidRPr="0061555C" w:rsidRDefault="003412C4" w:rsidP="003412C4">
      <w:pPr>
        <w:jc w:val="both"/>
      </w:pPr>
      <w:r w:rsidRPr="0061555C">
        <w:rPr>
          <w:i/>
        </w:rPr>
        <w:t xml:space="preserve">** Заполняется на основании представленных кандидатом документов либо указывается: «документы не представлены». </w:t>
      </w:r>
    </w:p>
    <w:p w:rsidR="003412C4" w:rsidRPr="004612B0" w:rsidRDefault="003412C4" w:rsidP="003412C4">
      <w:pPr>
        <w:rPr>
          <w:sz w:val="28"/>
          <w:szCs w:val="28"/>
        </w:rPr>
      </w:pPr>
    </w:p>
    <w:p w:rsidR="00EF218D" w:rsidRDefault="00EF218D"/>
    <w:sectPr w:rsidR="00EF218D" w:rsidSect="00693D7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C3" w:rsidRDefault="00B024C3" w:rsidP="001C51E9">
      <w:r>
        <w:separator/>
      </w:r>
    </w:p>
  </w:endnote>
  <w:endnote w:type="continuationSeparator" w:id="0">
    <w:p w:rsidR="00B024C3" w:rsidRDefault="00B024C3" w:rsidP="001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C3" w:rsidRDefault="00B024C3" w:rsidP="001C51E9">
      <w:r>
        <w:separator/>
      </w:r>
    </w:p>
  </w:footnote>
  <w:footnote w:type="continuationSeparator" w:id="0">
    <w:p w:rsidR="00B024C3" w:rsidRDefault="00B024C3" w:rsidP="001C51E9">
      <w:r>
        <w:continuationSeparator/>
      </w:r>
    </w:p>
  </w:footnote>
  <w:footnote w:id="1">
    <w:p w:rsidR="00144C79" w:rsidRDefault="00144C79" w:rsidP="001C51E9">
      <w:pPr>
        <w:pStyle w:val="af0"/>
        <w:rPr>
          <w:sz w:val="18"/>
        </w:rPr>
      </w:pPr>
      <w:r>
        <w:rPr>
          <w:rStyle w:val="af3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844705"/>
      <w:docPartObj>
        <w:docPartGallery w:val="Page Numbers (Top of Page)"/>
        <w:docPartUnique/>
      </w:docPartObj>
    </w:sdtPr>
    <w:sdtEndPr/>
    <w:sdtContent>
      <w:p w:rsidR="00144C79" w:rsidRDefault="00070E50">
        <w:pPr>
          <w:pStyle w:val="a9"/>
          <w:jc w:val="right"/>
        </w:pPr>
        <w:r>
          <w:fldChar w:fldCharType="begin"/>
        </w:r>
        <w:r w:rsidR="0051196A">
          <w:instrText>PAGE   \* MERGEFORMAT</w:instrText>
        </w:r>
        <w:r>
          <w:fldChar w:fldCharType="separate"/>
        </w:r>
        <w:r w:rsidR="001616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44C79" w:rsidRDefault="00144C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11065"/>
      <w:docPartObj>
        <w:docPartGallery w:val="Page Numbers (Top of Page)"/>
        <w:docPartUnique/>
      </w:docPartObj>
    </w:sdtPr>
    <w:sdtEndPr/>
    <w:sdtContent>
      <w:p w:rsidR="00144C79" w:rsidRDefault="00070E50">
        <w:pPr>
          <w:pStyle w:val="a9"/>
          <w:jc w:val="right"/>
        </w:pPr>
        <w:r>
          <w:fldChar w:fldCharType="begin"/>
        </w:r>
        <w:r w:rsidR="0051196A">
          <w:instrText>PAGE   \* MERGEFORMAT</w:instrText>
        </w:r>
        <w:r>
          <w:fldChar w:fldCharType="separate"/>
        </w:r>
        <w:r w:rsidR="00144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C79" w:rsidRPr="00F556F9" w:rsidRDefault="00144C79" w:rsidP="004E19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412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98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0E50"/>
    <w:rsid w:val="000717B3"/>
    <w:rsid w:val="00071F81"/>
    <w:rsid w:val="000729F5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9C4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4C79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162A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FCA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1E9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492F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699B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309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2C4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1803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317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633C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C7E98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942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6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DE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3D4"/>
    <w:rsid w:val="005E0AA0"/>
    <w:rsid w:val="005E112B"/>
    <w:rsid w:val="005E1FF8"/>
    <w:rsid w:val="005E24D7"/>
    <w:rsid w:val="005E25F4"/>
    <w:rsid w:val="005E310A"/>
    <w:rsid w:val="005E3BB6"/>
    <w:rsid w:val="005E4252"/>
    <w:rsid w:val="005E481D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6E03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454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85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564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70F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691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ADB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85A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265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803"/>
    <w:rsid w:val="00A6094C"/>
    <w:rsid w:val="00A614EF"/>
    <w:rsid w:val="00A61A06"/>
    <w:rsid w:val="00A61B54"/>
    <w:rsid w:val="00A61C1A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4C3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1C77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9641A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656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14E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1A7F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21C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58A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69E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864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1A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45E1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1C89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E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218D"/>
    <w:rPr>
      <w:rFonts w:eastAsiaTheme="minorEastAsia"/>
      <w:lang w:eastAsia="ru-RU"/>
    </w:rPr>
  </w:style>
  <w:style w:type="paragraph" w:customStyle="1" w:styleId="21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customStyle="1" w:styleId="14-15">
    <w:name w:val="Текст 14-1.5"/>
    <w:basedOn w:val="a"/>
    <w:rsid w:val="00177F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17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7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1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1C51E9"/>
    <w:pPr>
      <w:spacing w:after="120"/>
      <w:jc w:val="both"/>
    </w:pPr>
    <w:rPr>
      <w:sz w:val="22"/>
      <w:szCs w:val="20"/>
    </w:rPr>
  </w:style>
  <w:style w:type="character" w:customStyle="1" w:styleId="af1">
    <w:name w:val="Текст сноски Знак"/>
    <w:basedOn w:val="a0"/>
    <w:link w:val="af0"/>
    <w:semiHidden/>
    <w:rsid w:val="001C51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-15">
    <w:name w:val="текст12-15"/>
    <w:basedOn w:val="a"/>
    <w:rsid w:val="001C51E9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ienuii">
    <w:name w:val="ienuii"/>
    <w:basedOn w:val="a"/>
    <w:rsid w:val="001C51E9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ConsPlusNonformat">
    <w:name w:val="ConsPlusNonformat"/>
    <w:rsid w:val="001C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чныйТекст"/>
    <w:basedOn w:val="a"/>
    <w:rsid w:val="001C51E9"/>
    <w:pPr>
      <w:jc w:val="both"/>
    </w:pPr>
    <w:rPr>
      <w:sz w:val="20"/>
      <w:szCs w:val="20"/>
    </w:rPr>
  </w:style>
  <w:style w:type="character" w:styleId="af3">
    <w:name w:val="footnote reference"/>
    <w:basedOn w:val="a0"/>
    <w:semiHidden/>
    <w:unhideWhenUsed/>
    <w:rsid w:val="001C51E9"/>
    <w:rPr>
      <w:sz w:val="24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344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4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81FF-F4A9-40CD-8F89-67639C4A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TIC</cp:lastModifiedBy>
  <cp:revision>32</cp:revision>
  <cp:lastPrinted>2019-06-24T07:39:00Z</cp:lastPrinted>
  <dcterms:created xsi:type="dcterms:W3CDTF">2019-05-21T07:17:00Z</dcterms:created>
  <dcterms:modified xsi:type="dcterms:W3CDTF">2019-06-24T07:40:00Z</dcterms:modified>
</cp:coreProperties>
</file>